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spacing w:before="250"/>
        <w:rPr>
          <w:rFonts w:ascii="Times New Roman"/>
        </w:rPr>
      </w:pPr>
    </w:p>
    <w:p>
      <w:pPr>
        <w:pStyle w:val="Heading1"/>
        <w:ind w:left="709"/>
      </w:pPr>
      <w:r>
        <w:rPr>
          <w:color w:val="253A96"/>
        </w:rPr>
        <w:t>Purpose</w:t>
      </w:r>
      <w:r>
        <w:rPr>
          <w:color w:val="253A96"/>
          <w:spacing w:val="-5"/>
        </w:rPr>
        <w:t> </w:t>
      </w:r>
      <w:r>
        <w:rPr>
          <w:color w:val="253A96"/>
        </w:rPr>
        <w:t>of</w:t>
      </w:r>
      <w:r>
        <w:rPr>
          <w:color w:val="253A96"/>
          <w:spacing w:val="-5"/>
        </w:rPr>
        <w:t> </w:t>
      </w:r>
      <w:r>
        <w:rPr>
          <w:color w:val="253A96"/>
        </w:rPr>
        <w:t>your</w:t>
      </w:r>
      <w:r>
        <w:rPr>
          <w:color w:val="253A96"/>
          <w:spacing w:val="-5"/>
        </w:rPr>
        <w:t> </w:t>
      </w:r>
      <w:r>
        <w:rPr>
          <w:color w:val="253A96"/>
        </w:rPr>
        <w:t>personal</w:t>
      </w:r>
      <w:r>
        <w:rPr>
          <w:color w:val="253A96"/>
          <w:spacing w:val="-2"/>
        </w:rPr>
        <w:t> </w:t>
      </w:r>
      <w:r>
        <w:rPr>
          <w:color w:val="253A96"/>
        </w:rPr>
        <w:t>data</w:t>
      </w:r>
      <w:r>
        <w:rPr>
          <w:color w:val="253A96"/>
          <w:spacing w:val="-4"/>
        </w:rPr>
        <w:t> </w:t>
      </w:r>
      <w:r>
        <w:rPr>
          <w:color w:val="253A96"/>
          <w:spacing w:val="-2"/>
        </w:rPr>
        <w:t>processing</w:t>
      </w:r>
    </w:p>
    <w:p>
      <w:pPr>
        <w:pStyle w:val="BodyText"/>
        <w:spacing w:before="179"/>
        <w:ind w:left="709"/>
      </w:pPr>
      <w:r>
        <w:rPr/>
        <w:t>Compliance</w:t>
      </w:r>
      <w:r>
        <w:rPr>
          <w:spacing w:val="-8"/>
        </w:rPr>
        <w:t> </w:t>
      </w:r>
      <w:r>
        <w:rPr/>
        <w:t>with</w:t>
      </w:r>
      <w:r>
        <w:rPr>
          <w:spacing w:val="-7"/>
        </w:rPr>
        <w:t> </w:t>
      </w:r>
      <w:r>
        <w:rPr/>
        <w:t>radiation</w:t>
      </w:r>
      <w:r>
        <w:rPr>
          <w:spacing w:val="-7"/>
        </w:rPr>
        <w:t> </w:t>
      </w:r>
      <w:r>
        <w:rPr/>
        <w:t>protection</w:t>
      </w:r>
      <w:r>
        <w:rPr>
          <w:spacing w:val="-8"/>
        </w:rPr>
        <w:t> </w:t>
      </w:r>
      <w:r>
        <w:rPr>
          <w:spacing w:val="-2"/>
        </w:rPr>
        <w:t>requirements</w:t>
      </w:r>
    </w:p>
    <w:p>
      <w:pPr>
        <w:pStyle w:val="Heading1"/>
        <w:spacing w:before="179"/>
        <w:ind w:left="709"/>
      </w:pPr>
      <w:r>
        <w:rPr>
          <w:color w:val="253A96"/>
        </w:rPr>
        <w:t>Detailed</w:t>
      </w:r>
      <w:r>
        <w:rPr>
          <w:color w:val="253A96"/>
          <w:spacing w:val="-8"/>
        </w:rPr>
        <w:t> </w:t>
      </w:r>
      <w:r>
        <w:rPr>
          <w:color w:val="253A96"/>
        </w:rPr>
        <w:t>description</w:t>
      </w:r>
      <w:r>
        <w:rPr>
          <w:color w:val="253A96"/>
          <w:spacing w:val="-4"/>
        </w:rPr>
        <w:t> </w:t>
      </w:r>
      <w:r>
        <w:rPr>
          <w:color w:val="253A96"/>
        </w:rPr>
        <w:t>of</w:t>
      </w:r>
      <w:r>
        <w:rPr>
          <w:color w:val="253A96"/>
          <w:spacing w:val="-5"/>
        </w:rPr>
        <w:t> </w:t>
      </w:r>
      <w:r>
        <w:rPr>
          <w:color w:val="253A96"/>
        </w:rPr>
        <w:t>the</w:t>
      </w:r>
      <w:r>
        <w:rPr>
          <w:color w:val="253A96"/>
          <w:spacing w:val="-4"/>
        </w:rPr>
        <w:t> </w:t>
      </w:r>
      <w:r>
        <w:rPr>
          <w:color w:val="253A96"/>
        </w:rPr>
        <w:t>purpose</w:t>
      </w:r>
      <w:r>
        <w:rPr>
          <w:color w:val="253A96"/>
          <w:spacing w:val="-6"/>
        </w:rPr>
        <w:t> </w:t>
      </w:r>
      <w:r>
        <w:rPr>
          <w:color w:val="253A96"/>
        </w:rPr>
        <w:t>of</w:t>
      </w:r>
      <w:r>
        <w:rPr>
          <w:color w:val="253A96"/>
          <w:spacing w:val="-5"/>
        </w:rPr>
        <w:t> </w:t>
      </w:r>
      <w:r>
        <w:rPr>
          <w:color w:val="253A96"/>
        </w:rPr>
        <w:t>your</w:t>
      </w:r>
      <w:r>
        <w:rPr>
          <w:color w:val="253A96"/>
          <w:spacing w:val="-5"/>
        </w:rPr>
        <w:t> </w:t>
      </w:r>
      <w:r>
        <w:rPr>
          <w:color w:val="253A96"/>
        </w:rPr>
        <w:t>personal</w:t>
      </w:r>
      <w:r>
        <w:rPr>
          <w:color w:val="253A96"/>
          <w:spacing w:val="-2"/>
        </w:rPr>
        <w:t> </w:t>
      </w:r>
      <w:r>
        <w:rPr>
          <w:color w:val="253A96"/>
        </w:rPr>
        <w:t>data</w:t>
      </w:r>
      <w:r>
        <w:rPr>
          <w:color w:val="253A96"/>
          <w:spacing w:val="-4"/>
        </w:rPr>
        <w:t> </w:t>
      </w:r>
      <w:r>
        <w:rPr>
          <w:color w:val="253A96"/>
          <w:spacing w:val="-2"/>
        </w:rPr>
        <w:t>processing</w:t>
      </w:r>
    </w:p>
    <w:p>
      <w:pPr>
        <w:pStyle w:val="BodyText"/>
        <w:spacing w:line="256" w:lineRule="auto" w:before="184"/>
        <w:ind w:left="1" w:right="137" w:firstLine="708"/>
        <w:jc w:val="both"/>
      </w:pPr>
      <w:r>
        <w:rPr/>
        <w:t>The processing of personal data for this purpose includes activities related to the recording, monitoring and control of ionising radiation doses received and the permitting of entry into the protected areas.</w:t>
      </w:r>
    </w:p>
    <w:p>
      <w:pPr>
        <w:pStyle w:val="Heading1"/>
        <w:spacing w:line="254" w:lineRule="auto" w:before="167"/>
        <w:ind w:right="136" w:firstLine="708"/>
        <w:jc w:val="both"/>
      </w:pPr>
      <w:r>
        <w:rPr>
          <w:color w:val="253A96"/>
        </w:rPr>
        <w:t>Who are data subjects</w:t>
      </w:r>
      <w:r>
        <w:rPr>
          <w:color w:val="253A96"/>
          <w:spacing w:val="-2"/>
        </w:rPr>
        <w:t> </w:t>
      </w:r>
      <w:r>
        <w:rPr>
          <w:color w:val="253A96"/>
        </w:rPr>
        <w:t>for this processing purpose (whose personal data do we </w:t>
      </w:r>
      <w:r>
        <w:rPr>
          <w:color w:val="253A96"/>
          <w:spacing w:val="-2"/>
        </w:rPr>
        <w:t>process)?</w:t>
      </w:r>
    </w:p>
    <w:p>
      <w:pPr>
        <w:pStyle w:val="BodyText"/>
        <w:spacing w:line="256" w:lineRule="auto" w:before="169"/>
        <w:ind w:left="1" w:right="137" w:firstLine="708"/>
        <w:jc w:val="both"/>
      </w:pPr>
      <w:r>
        <w:rPr/>
        <w:t>Data subjects include the physical persons carrying out activities leading to radiation exposure, physical persons entering</w:t>
      </w:r>
      <w:r>
        <w:rPr>
          <w:spacing w:val="-2"/>
        </w:rPr>
        <w:t> </w:t>
      </w:r>
      <w:r>
        <w:rPr/>
        <w:t>the protected</w:t>
      </w:r>
      <w:r>
        <w:rPr>
          <w:spacing w:val="-1"/>
        </w:rPr>
        <w:t> </w:t>
      </w:r>
      <w:r>
        <w:rPr/>
        <w:t>and controlled areas</w:t>
      </w:r>
      <w:r>
        <w:rPr>
          <w:spacing w:val="-1"/>
        </w:rPr>
        <w:t> </w:t>
      </w:r>
      <w:r>
        <w:rPr/>
        <w:t>and persons keeping records of personal monitoring results.</w:t>
      </w:r>
    </w:p>
    <w:p>
      <w:pPr>
        <w:pStyle w:val="BodyText"/>
        <w:spacing w:before="32"/>
      </w:pPr>
    </w:p>
    <w:p>
      <w:pPr>
        <w:pStyle w:val="Heading1"/>
        <w:ind w:left="709"/>
      </w:pPr>
      <w:r>
        <w:rPr>
          <w:color w:val="253A96"/>
        </w:rPr>
        <w:t>What</w:t>
      </w:r>
      <w:r>
        <w:rPr>
          <w:color w:val="253A96"/>
          <w:spacing w:val="-7"/>
        </w:rPr>
        <w:t> </w:t>
      </w:r>
      <w:r>
        <w:rPr>
          <w:color w:val="253A96"/>
        </w:rPr>
        <w:t>categories</w:t>
      </w:r>
      <w:r>
        <w:rPr>
          <w:color w:val="253A96"/>
          <w:spacing w:val="-4"/>
        </w:rPr>
        <w:t> </w:t>
      </w:r>
      <w:r>
        <w:rPr>
          <w:color w:val="253A96"/>
        </w:rPr>
        <w:t>of</w:t>
      </w:r>
      <w:r>
        <w:rPr>
          <w:color w:val="253A96"/>
          <w:spacing w:val="-1"/>
        </w:rPr>
        <w:t> </w:t>
      </w:r>
      <w:r>
        <w:rPr>
          <w:color w:val="253A96"/>
        </w:rPr>
        <w:t>personal</w:t>
      </w:r>
      <w:r>
        <w:rPr>
          <w:color w:val="253A96"/>
          <w:spacing w:val="-2"/>
        </w:rPr>
        <w:t> </w:t>
      </w:r>
      <w:r>
        <w:rPr>
          <w:color w:val="253A96"/>
        </w:rPr>
        <w:t>data</w:t>
      </w:r>
      <w:r>
        <w:rPr>
          <w:color w:val="253A96"/>
          <w:spacing w:val="-4"/>
        </w:rPr>
        <w:t> </w:t>
      </w:r>
      <w:r>
        <w:rPr>
          <w:color w:val="253A96"/>
        </w:rPr>
        <w:t>do</w:t>
      </w:r>
      <w:r>
        <w:rPr>
          <w:color w:val="253A96"/>
          <w:spacing w:val="-5"/>
        </w:rPr>
        <w:t> </w:t>
      </w:r>
      <w:r>
        <w:rPr>
          <w:color w:val="253A96"/>
        </w:rPr>
        <w:t>we</w:t>
      </w:r>
      <w:r>
        <w:rPr>
          <w:color w:val="253A96"/>
          <w:spacing w:val="-6"/>
        </w:rPr>
        <w:t> </w:t>
      </w:r>
      <w:r>
        <w:rPr>
          <w:color w:val="253A96"/>
        </w:rPr>
        <w:t>collect</w:t>
      </w:r>
      <w:r>
        <w:rPr>
          <w:color w:val="253A96"/>
          <w:spacing w:val="-1"/>
        </w:rPr>
        <w:t> </w:t>
      </w:r>
      <w:r>
        <w:rPr>
          <w:color w:val="253A96"/>
        </w:rPr>
        <w:t>and</w:t>
      </w:r>
      <w:r>
        <w:rPr>
          <w:color w:val="253A96"/>
          <w:spacing w:val="-6"/>
        </w:rPr>
        <w:t> </w:t>
      </w:r>
      <w:r>
        <w:rPr>
          <w:color w:val="253A96"/>
        </w:rPr>
        <w:t>process</w:t>
      </w:r>
      <w:r>
        <w:rPr>
          <w:color w:val="253A96"/>
          <w:spacing w:val="-5"/>
        </w:rPr>
        <w:t> </w:t>
      </w:r>
      <w:r>
        <w:rPr>
          <w:color w:val="253A96"/>
        </w:rPr>
        <w:t>for</w:t>
      </w:r>
      <w:r>
        <w:rPr>
          <w:color w:val="253A96"/>
          <w:spacing w:val="-5"/>
        </w:rPr>
        <w:t> </w:t>
      </w:r>
      <w:r>
        <w:rPr>
          <w:color w:val="253A96"/>
        </w:rPr>
        <w:t>this</w:t>
      </w:r>
      <w:r>
        <w:rPr>
          <w:color w:val="253A96"/>
          <w:spacing w:val="-5"/>
        </w:rPr>
        <w:t> </w:t>
      </w:r>
      <w:r>
        <w:rPr>
          <w:color w:val="253A96"/>
          <w:spacing w:val="-2"/>
        </w:rPr>
        <w:t>purpose?</w:t>
      </w:r>
    </w:p>
    <w:p>
      <w:pPr>
        <w:pStyle w:val="BodyText"/>
        <w:spacing w:before="29"/>
        <w:rPr>
          <w:b/>
        </w:rPr>
      </w:pPr>
    </w:p>
    <w:p>
      <w:pPr>
        <w:pStyle w:val="BodyText"/>
        <w:spacing w:line="259" w:lineRule="auto"/>
        <w:ind w:left="1" w:right="135" w:firstLine="708"/>
        <w:jc w:val="both"/>
      </w:pPr>
      <w:r>
        <w:rPr/>
        <w:t>For this purpose we collect and process the following personal data categories: identification</w:t>
      </w:r>
      <w:r>
        <w:rPr>
          <w:spacing w:val="-2"/>
        </w:rPr>
        <w:t> </w:t>
      </w:r>
      <w:r>
        <w:rPr/>
        <w:t>data,</w:t>
      </w:r>
      <w:r>
        <w:rPr>
          <w:spacing w:val="-1"/>
        </w:rPr>
        <w:t> </w:t>
      </w:r>
      <w:r>
        <w:rPr/>
        <w:t>data</w:t>
      </w:r>
      <w:r>
        <w:rPr>
          <w:spacing w:val="-4"/>
        </w:rPr>
        <w:t> </w:t>
      </w:r>
      <w:r>
        <w:rPr/>
        <w:t>related</w:t>
      </w:r>
      <w:r>
        <w:rPr>
          <w:spacing w:val="-2"/>
        </w:rPr>
        <w:t> </w:t>
      </w:r>
      <w:r>
        <w:rPr/>
        <w:t>to</w:t>
      </w:r>
      <w:r>
        <w:rPr>
          <w:spacing w:val="-4"/>
        </w:rPr>
        <w:t> </w:t>
      </w:r>
      <w:r>
        <w:rPr/>
        <w:t>employment,</w:t>
      </w:r>
      <w:r>
        <w:rPr>
          <w:spacing w:val="-3"/>
        </w:rPr>
        <w:t> </w:t>
      </w:r>
      <w:r>
        <w:rPr/>
        <w:t>contact</w:t>
      </w:r>
      <w:r>
        <w:rPr>
          <w:spacing w:val="-2"/>
        </w:rPr>
        <w:t> </w:t>
      </w:r>
      <w:r>
        <w:rPr/>
        <w:t>data,</w:t>
      </w:r>
      <w:r>
        <w:rPr>
          <w:spacing w:val="-1"/>
        </w:rPr>
        <w:t> </w:t>
      </w:r>
      <w:r>
        <w:rPr/>
        <w:t>data</w:t>
      </w:r>
      <w:r>
        <w:rPr>
          <w:spacing w:val="-4"/>
        </w:rPr>
        <w:t> </w:t>
      </w:r>
      <w:r>
        <w:rPr/>
        <w:t>related</w:t>
      </w:r>
      <w:r>
        <w:rPr>
          <w:spacing w:val="-6"/>
        </w:rPr>
        <w:t> </w:t>
      </w:r>
      <w:r>
        <w:rPr/>
        <w:t>to</w:t>
      </w:r>
      <w:r>
        <w:rPr>
          <w:spacing w:val="-2"/>
        </w:rPr>
        <w:t> </w:t>
      </w:r>
      <w:r>
        <w:rPr/>
        <w:t>ionising</w:t>
      </w:r>
      <w:r>
        <w:rPr>
          <w:spacing w:val="-2"/>
        </w:rPr>
        <w:t> </w:t>
      </w:r>
      <w:r>
        <w:rPr/>
        <w:t>radiation doses and entry to the protected areas, data related to education, data related to health, in particular the personal data in the extent of the academic degree, name, surname, birth registration number, date and place of birth, birth identification number, permanent address, gender,</w:t>
      </w:r>
      <w:r>
        <w:rPr>
          <w:spacing w:val="-8"/>
        </w:rPr>
        <w:t> </w:t>
      </w:r>
      <w:r>
        <w:rPr/>
        <w:t>ID</w:t>
      </w:r>
      <w:r>
        <w:rPr>
          <w:spacing w:val="-8"/>
        </w:rPr>
        <w:t> </w:t>
      </w:r>
      <w:r>
        <w:rPr/>
        <w:t>card</w:t>
      </w:r>
      <w:r>
        <w:rPr>
          <w:spacing w:val="-7"/>
        </w:rPr>
        <w:t> </w:t>
      </w:r>
      <w:r>
        <w:rPr/>
        <w:t>number</w:t>
      </w:r>
      <w:r>
        <w:rPr>
          <w:spacing w:val="-8"/>
        </w:rPr>
        <w:t> </w:t>
      </w:r>
      <w:r>
        <w:rPr/>
        <w:t>or</w:t>
      </w:r>
      <w:r>
        <w:rPr>
          <w:spacing w:val="-6"/>
        </w:rPr>
        <w:t> </w:t>
      </w:r>
      <w:r>
        <w:rPr/>
        <w:t>passport</w:t>
      </w:r>
      <w:r>
        <w:rPr>
          <w:spacing w:val="-6"/>
        </w:rPr>
        <w:t> </w:t>
      </w:r>
      <w:r>
        <w:rPr/>
        <w:t>number,</w:t>
      </w:r>
      <w:r>
        <w:rPr>
          <w:spacing w:val="-6"/>
        </w:rPr>
        <w:t> </w:t>
      </w:r>
      <w:r>
        <w:rPr/>
        <w:t>citizenship,</w:t>
      </w:r>
      <w:r>
        <w:rPr>
          <w:spacing w:val="-6"/>
        </w:rPr>
        <w:t> </w:t>
      </w:r>
      <w:r>
        <w:rPr/>
        <w:t>identification</w:t>
      </w:r>
      <w:r>
        <w:rPr>
          <w:spacing w:val="-7"/>
        </w:rPr>
        <w:t> </w:t>
      </w:r>
      <w:r>
        <w:rPr/>
        <w:t>of</w:t>
      </w:r>
      <w:r>
        <w:rPr>
          <w:spacing w:val="-6"/>
        </w:rPr>
        <w:t> </w:t>
      </w:r>
      <w:r>
        <w:rPr/>
        <w:t>the</w:t>
      </w:r>
      <w:r>
        <w:rPr>
          <w:spacing w:val="-7"/>
        </w:rPr>
        <w:t> </w:t>
      </w:r>
      <w:r>
        <w:rPr/>
        <w:t>employer</w:t>
      </w:r>
      <w:r>
        <w:rPr>
          <w:spacing w:val="-9"/>
        </w:rPr>
        <w:t> </w:t>
      </w:r>
      <w:r>
        <w:rPr/>
        <w:t>(name, registered</w:t>
      </w:r>
      <w:r>
        <w:rPr>
          <w:spacing w:val="-4"/>
        </w:rPr>
        <w:t> </w:t>
      </w:r>
      <w:r>
        <w:rPr/>
        <w:t>office,</w:t>
      </w:r>
      <w:r>
        <w:rPr>
          <w:spacing w:val="-4"/>
        </w:rPr>
        <w:t> </w:t>
      </w:r>
      <w:r>
        <w:rPr/>
        <w:t>company</w:t>
      </w:r>
      <w:r>
        <w:rPr>
          <w:spacing w:val="-4"/>
        </w:rPr>
        <w:t> </w:t>
      </w:r>
      <w:r>
        <w:rPr/>
        <w:t>registration</w:t>
      </w:r>
      <w:r>
        <w:rPr>
          <w:spacing w:val="-4"/>
        </w:rPr>
        <w:t> </w:t>
      </w:r>
      <w:r>
        <w:rPr/>
        <w:t>number),</w:t>
      </w:r>
      <w:r>
        <w:rPr>
          <w:spacing w:val="-3"/>
        </w:rPr>
        <w:t> </w:t>
      </w:r>
      <w:r>
        <w:rPr/>
        <w:t>identification</w:t>
      </w:r>
      <w:r>
        <w:rPr>
          <w:spacing w:val="-4"/>
        </w:rPr>
        <w:t> </w:t>
      </w:r>
      <w:r>
        <w:rPr/>
        <w:t>of</w:t>
      </w:r>
      <w:r>
        <w:rPr>
          <w:spacing w:val="-5"/>
        </w:rPr>
        <w:t> </w:t>
      </w:r>
      <w:r>
        <w:rPr/>
        <w:t>the</w:t>
      </w:r>
      <w:r>
        <w:rPr>
          <w:spacing w:val="-4"/>
        </w:rPr>
        <w:t> </w:t>
      </w:r>
      <w:r>
        <w:rPr/>
        <w:t>operator</w:t>
      </w:r>
      <w:r>
        <w:rPr>
          <w:spacing w:val="-4"/>
        </w:rPr>
        <w:t> </w:t>
      </w:r>
      <w:r>
        <w:rPr/>
        <w:t>of</w:t>
      </w:r>
      <w:r>
        <w:rPr>
          <w:spacing w:val="-5"/>
        </w:rPr>
        <w:t> </w:t>
      </w:r>
      <w:r>
        <w:rPr/>
        <w:t>the</w:t>
      </w:r>
      <w:r>
        <w:rPr>
          <w:spacing w:val="-4"/>
        </w:rPr>
        <w:t> </w:t>
      </w:r>
      <w:r>
        <w:rPr/>
        <w:t>controlled area in which the worker carried out the work activity, job classification, personal number, phone number, email, department, identification card number (IDC), information on whether the employee is a shift/non-shift worker, nature and extent of the activity carried out involving radiation</w:t>
      </w:r>
      <w:r>
        <w:rPr>
          <w:spacing w:val="-3"/>
        </w:rPr>
        <w:t> </w:t>
      </w:r>
      <w:r>
        <w:rPr/>
        <w:t>sources,</w:t>
      </w:r>
      <w:r>
        <w:rPr>
          <w:spacing w:val="-1"/>
        </w:rPr>
        <w:t> </w:t>
      </w:r>
      <w:r>
        <w:rPr/>
        <w:t>numbers</w:t>
      </w:r>
      <w:r>
        <w:rPr>
          <w:spacing w:val="-2"/>
        </w:rPr>
        <w:t> </w:t>
      </w:r>
      <w:r>
        <w:rPr/>
        <w:t>of</w:t>
      </w:r>
      <w:r>
        <w:rPr>
          <w:spacing w:val="-1"/>
        </w:rPr>
        <w:t> </w:t>
      </w:r>
      <w:r>
        <w:rPr/>
        <w:t>dosimeters</w:t>
      </w:r>
      <w:r>
        <w:rPr>
          <w:spacing w:val="-2"/>
        </w:rPr>
        <w:t> </w:t>
      </w:r>
      <w:r>
        <w:rPr/>
        <w:t>assigned,</w:t>
      </w:r>
      <w:r>
        <w:rPr>
          <w:spacing w:val="-1"/>
        </w:rPr>
        <w:t> </w:t>
      </w:r>
      <w:r>
        <w:rPr/>
        <w:t>length</w:t>
      </w:r>
      <w:r>
        <w:rPr>
          <w:spacing w:val="-3"/>
        </w:rPr>
        <w:t> </w:t>
      </w:r>
      <w:r>
        <w:rPr/>
        <w:t>of</w:t>
      </w:r>
      <w:r>
        <w:rPr>
          <w:spacing w:val="-4"/>
        </w:rPr>
        <w:t> </w:t>
      </w:r>
      <w:r>
        <w:rPr/>
        <w:t>the</w:t>
      </w:r>
      <w:r>
        <w:rPr>
          <w:spacing w:val="-5"/>
        </w:rPr>
        <w:t> </w:t>
      </w:r>
      <w:r>
        <w:rPr/>
        <w:t>monitoring period,</w:t>
      </w:r>
      <w:r>
        <w:rPr>
          <w:spacing w:val="-1"/>
        </w:rPr>
        <w:t> </w:t>
      </w:r>
      <w:r>
        <w:rPr/>
        <w:t>start</w:t>
      </w:r>
      <w:r>
        <w:rPr>
          <w:spacing w:val="-4"/>
        </w:rPr>
        <w:t> </w:t>
      </w:r>
      <w:r>
        <w:rPr/>
        <w:t>and end date of monitoring/start and end date of the work in the controlled area, the worker's personal</w:t>
      </w:r>
      <w:r>
        <w:rPr>
          <w:spacing w:val="-6"/>
        </w:rPr>
        <w:t> </w:t>
      </w:r>
      <w:r>
        <w:rPr/>
        <w:t>dose</w:t>
      </w:r>
      <w:r>
        <w:rPr>
          <w:spacing w:val="-9"/>
        </w:rPr>
        <w:t> </w:t>
      </w:r>
      <w:r>
        <w:rPr/>
        <w:t>monitoring</w:t>
      </w:r>
      <w:r>
        <w:rPr>
          <w:spacing w:val="-5"/>
        </w:rPr>
        <w:t> </w:t>
      </w:r>
      <w:r>
        <w:rPr/>
        <w:t>results</w:t>
      </w:r>
      <w:r>
        <w:rPr>
          <w:spacing w:val="-7"/>
        </w:rPr>
        <w:t> </w:t>
      </w:r>
      <w:r>
        <w:rPr/>
        <w:t>(data</w:t>
      </w:r>
      <w:r>
        <w:rPr>
          <w:spacing w:val="-7"/>
        </w:rPr>
        <w:t> </w:t>
      </w:r>
      <w:r>
        <w:rPr/>
        <w:t>on</w:t>
      </w:r>
      <w:r>
        <w:rPr>
          <w:spacing w:val="-5"/>
        </w:rPr>
        <w:t> </w:t>
      </w:r>
      <w:r>
        <w:rPr/>
        <w:t>personal</w:t>
      </w:r>
      <w:r>
        <w:rPr>
          <w:spacing w:val="-6"/>
        </w:rPr>
        <w:t> </w:t>
      </w:r>
      <w:r>
        <w:rPr/>
        <w:t>doses</w:t>
      </w:r>
      <w:r>
        <w:rPr>
          <w:spacing w:val="-7"/>
        </w:rPr>
        <w:t> </w:t>
      </w:r>
      <w:r>
        <w:rPr/>
        <w:t>received</w:t>
      </w:r>
      <w:r>
        <w:rPr>
          <w:spacing w:val="-7"/>
        </w:rPr>
        <w:t> </w:t>
      </w:r>
      <w:r>
        <w:rPr/>
        <w:t>when</w:t>
      </w:r>
      <w:r>
        <w:rPr>
          <w:spacing w:val="-9"/>
        </w:rPr>
        <w:t> </w:t>
      </w:r>
      <w:r>
        <w:rPr/>
        <w:t>performing</w:t>
      </w:r>
      <w:r>
        <w:rPr>
          <w:spacing w:val="-7"/>
        </w:rPr>
        <w:t> </w:t>
      </w:r>
      <w:r>
        <w:rPr/>
        <w:t>activities for the Company, as well as activities for previous employers), signature, identification of the organisation issuing the statement, information about age, information about pregnancy and breastfeeding,</w:t>
      </w:r>
      <w:r>
        <w:rPr>
          <w:spacing w:val="-1"/>
        </w:rPr>
        <w:t> </w:t>
      </w:r>
      <w:r>
        <w:rPr/>
        <w:t>information about</w:t>
      </w:r>
      <w:r>
        <w:rPr>
          <w:spacing w:val="-1"/>
        </w:rPr>
        <w:t> </w:t>
      </w:r>
      <w:r>
        <w:rPr/>
        <w:t>health</w:t>
      </w:r>
      <w:r>
        <w:rPr>
          <w:spacing w:val="-3"/>
        </w:rPr>
        <w:t> </w:t>
      </w:r>
      <w:r>
        <w:rPr/>
        <w:t>capability</w:t>
      </w:r>
      <w:r>
        <w:rPr>
          <w:spacing w:val="-2"/>
        </w:rPr>
        <w:t> </w:t>
      </w:r>
      <w:r>
        <w:rPr/>
        <w:t>within the scope of</w:t>
      </w:r>
      <w:r>
        <w:rPr>
          <w:spacing w:val="-1"/>
        </w:rPr>
        <w:t> </w:t>
      </w:r>
      <w:r>
        <w:rPr/>
        <w:t>the information whether the person</w:t>
      </w:r>
      <w:r>
        <w:rPr>
          <w:spacing w:val="-3"/>
        </w:rPr>
        <w:t> </w:t>
      </w:r>
      <w:r>
        <w:rPr/>
        <w:t>is capable/incapable of</w:t>
      </w:r>
      <w:r>
        <w:rPr>
          <w:spacing w:val="-1"/>
        </w:rPr>
        <w:t> </w:t>
      </w:r>
      <w:r>
        <w:rPr/>
        <w:t>performing the</w:t>
      </w:r>
      <w:r>
        <w:rPr>
          <w:spacing w:val="-5"/>
        </w:rPr>
        <w:t> </w:t>
      </w:r>
      <w:r>
        <w:rPr/>
        <w:t>work being assessed, data on</w:t>
      </w:r>
      <w:r>
        <w:rPr>
          <w:spacing w:val="-3"/>
        </w:rPr>
        <w:t> </w:t>
      </w:r>
      <w:r>
        <w:rPr/>
        <w:t>professional qualification</w:t>
      </w:r>
      <w:r>
        <w:rPr>
          <w:spacing w:val="-10"/>
        </w:rPr>
        <w:t> </w:t>
      </w:r>
      <w:r>
        <w:rPr/>
        <w:t>and</w:t>
      </w:r>
      <w:r>
        <w:rPr>
          <w:spacing w:val="-10"/>
        </w:rPr>
        <w:t> </w:t>
      </w:r>
      <w:r>
        <w:rPr/>
        <w:t>knowledge,</w:t>
      </w:r>
      <w:r>
        <w:rPr>
          <w:spacing w:val="-8"/>
        </w:rPr>
        <w:t> </w:t>
      </w:r>
      <w:r>
        <w:rPr/>
        <w:t>data</w:t>
      </w:r>
      <w:r>
        <w:rPr>
          <w:spacing w:val="-12"/>
        </w:rPr>
        <w:t> </w:t>
      </w:r>
      <w:r>
        <w:rPr/>
        <w:t>on</w:t>
      </w:r>
      <w:r>
        <w:rPr>
          <w:spacing w:val="-10"/>
        </w:rPr>
        <w:t> </w:t>
      </w:r>
      <w:r>
        <w:rPr/>
        <w:t>training</w:t>
      </w:r>
      <w:r>
        <w:rPr>
          <w:spacing w:val="-10"/>
        </w:rPr>
        <w:t> </w:t>
      </w:r>
      <w:r>
        <w:rPr/>
        <w:t>undertaken,</w:t>
      </w:r>
      <w:r>
        <w:rPr>
          <w:spacing w:val="-8"/>
        </w:rPr>
        <w:t> </w:t>
      </w:r>
      <w:r>
        <w:rPr/>
        <w:t>data</w:t>
      </w:r>
      <w:r>
        <w:rPr>
          <w:spacing w:val="-10"/>
        </w:rPr>
        <w:t> </w:t>
      </w:r>
      <w:r>
        <w:rPr/>
        <w:t>on</w:t>
      </w:r>
      <w:r>
        <w:rPr>
          <w:spacing w:val="-10"/>
        </w:rPr>
        <w:t> </w:t>
      </w:r>
      <w:r>
        <w:rPr/>
        <w:t>the</w:t>
      </w:r>
      <w:r>
        <w:rPr>
          <w:spacing w:val="-10"/>
        </w:rPr>
        <w:t> </w:t>
      </w:r>
      <w:r>
        <w:rPr/>
        <w:t>workers'</w:t>
      </w:r>
      <w:r>
        <w:rPr>
          <w:spacing w:val="-11"/>
        </w:rPr>
        <w:t> </w:t>
      </w:r>
      <w:r>
        <w:rPr/>
        <w:t>classification</w:t>
      </w:r>
      <w:r>
        <w:rPr>
          <w:spacing w:val="-10"/>
        </w:rPr>
        <w:t> </w:t>
      </w:r>
      <w:r>
        <w:rPr/>
        <w:t>in categories A or B, other data related to entering into the protected area such as location, reason for entry, date of entry, length of stay in the controlled area.</w:t>
      </w:r>
    </w:p>
    <w:p>
      <w:pPr>
        <w:pStyle w:val="BodyText"/>
      </w:pPr>
    </w:p>
    <w:p>
      <w:pPr>
        <w:pStyle w:val="BodyText"/>
        <w:spacing w:before="82"/>
      </w:pPr>
    </w:p>
    <w:p>
      <w:pPr>
        <w:pStyle w:val="Heading1"/>
        <w:spacing w:line="256" w:lineRule="auto"/>
        <w:ind w:right="137" w:firstLine="708"/>
        <w:jc w:val="both"/>
      </w:pPr>
      <w:r>
        <w:rPr>
          <w:color w:val="253A96"/>
        </w:rPr>
        <w:t>What authorizes us for such processing of your personal data (so-called legal </w:t>
      </w:r>
      <w:r>
        <w:rPr>
          <w:color w:val="253A96"/>
          <w:spacing w:val="-2"/>
        </w:rPr>
        <w:t>basis)?</w:t>
      </w:r>
    </w:p>
    <w:p>
      <w:pPr>
        <w:pStyle w:val="BodyText"/>
        <w:spacing w:before="28"/>
        <w:rPr>
          <w:b/>
        </w:rPr>
      </w:pPr>
    </w:p>
    <w:p>
      <w:pPr>
        <w:pStyle w:val="BodyText"/>
        <w:spacing w:before="1"/>
        <w:ind w:left="1" w:right="138" w:firstLine="708"/>
        <w:jc w:val="both"/>
      </w:pPr>
      <w:r>
        <w:rPr>
          <w:color w:val="404040"/>
        </w:rPr>
        <w:t>The legal basis for processing your personal data consists in a legal obligation of the Company and a legitimate interest of the Company.</w:t>
      </w:r>
    </w:p>
    <w:p>
      <w:pPr>
        <w:pStyle w:val="BodyText"/>
        <w:spacing w:after="0"/>
        <w:jc w:val="both"/>
        <w:sectPr>
          <w:headerReference w:type="default" r:id="rId5"/>
          <w:footerReference w:type="default" r:id="rId6"/>
          <w:type w:val="continuous"/>
          <w:pgSz w:w="11900" w:h="16850"/>
          <w:pgMar w:header="1438" w:footer="541" w:top="2000" w:bottom="740" w:left="1417" w:right="1275"/>
          <w:pgNumType w:start="1"/>
        </w:sectPr>
      </w:pPr>
    </w:p>
    <w:p>
      <w:pPr>
        <w:pStyle w:val="BodyText"/>
      </w:pPr>
    </w:p>
    <w:p>
      <w:pPr>
        <w:pStyle w:val="BodyText"/>
        <w:spacing w:before="250"/>
      </w:pPr>
    </w:p>
    <w:p>
      <w:pPr>
        <w:pStyle w:val="BodyText"/>
        <w:ind w:left="1" w:right="139" w:firstLine="707"/>
        <w:jc w:val="both"/>
      </w:pPr>
      <w:r>
        <w:rPr>
          <w:color w:val="404040"/>
        </w:rPr>
        <w:t>The</w:t>
      </w:r>
      <w:r>
        <w:rPr>
          <w:color w:val="404040"/>
          <w:spacing w:val="-16"/>
        </w:rPr>
        <w:t> </w:t>
      </w:r>
      <w:r>
        <w:rPr>
          <w:color w:val="404040"/>
        </w:rPr>
        <w:t>Company’s</w:t>
      </w:r>
      <w:r>
        <w:rPr>
          <w:color w:val="404040"/>
          <w:spacing w:val="-15"/>
        </w:rPr>
        <w:t> </w:t>
      </w:r>
      <w:r>
        <w:rPr>
          <w:color w:val="404040"/>
        </w:rPr>
        <w:t>legal</w:t>
      </w:r>
      <w:r>
        <w:rPr>
          <w:color w:val="404040"/>
          <w:spacing w:val="-15"/>
        </w:rPr>
        <w:t> </w:t>
      </w:r>
      <w:r>
        <w:rPr>
          <w:color w:val="404040"/>
        </w:rPr>
        <w:t>obligation</w:t>
      </w:r>
      <w:r>
        <w:rPr>
          <w:color w:val="404040"/>
          <w:spacing w:val="-16"/>
        </w:rPr>
        <w:t> </w:t>
      </w:r>
      <w:r>
        <w:rPr>
          <w:color w:val="404040"/>
        </w:rPr>
        <w:t>to</w:t>
      </w:r>
      <w:r>
        <w:rPr>
          <w:color w:val="404040"/>
          <w:spacing w:val="-15"/>
        </w:rPr>
        <w:t> </w:t>
      </w:r>
      <w:r>
        <w:rPr>
          <w:color w:val="404040"/>
        </w:rPr>
        <w:t>process</w:t>
      </w:r>
      <w:r>
        <w:rPr>
          <w:color w:val="404040"/>
          <w:spacing w:val="-15"/>
        </w:rPr>
        <w:t> </w:t>
      </w:r>
      <w:r>
        <w:rPr>
          <w:color w:val="404040"/>
        </w:rPr>
        <w:t>your</w:t>
      </w:r>
      <w:r>
        <w:rPr>
          <w:color w:val="404040"/>
          <w:spacing w:val="-15"/>
        </w:rPr>
        <w:t> </w:t>
      </w:r>
      <w:r>
        <w:rPr>
          <w:color w:val="404040"/>
        </w:rPr>
        <w:t>personal</w:t>
      </w:r>
      <w:r>
        <w:rPr>
          <w:color w:val="404040"/>
          <w:spacing w:val="-16"/>
        </w:rPr>
        <w:t> </w:t>
      </w:r>
      <w:r>
        <w:rPr>
          <w:color w:val="404040"/>
        </w:rPr>
        <w:t>data</w:t>
      </w:r>
      <w:r>
        <w:rPr>
          <w:color w:val="404040"/>
          <w:spacing w:val="-15"/>
        </w:rPr>
        <w:t> </w:t>
      </w:r>
      <w:r>
        <w:rPr>
          <w:color w:val="404040"/>
        </w:rPr>
        <w:t>results</w:t>
      </w:r>
      <w:r>
        <w:rPr>
          <w:color w:val="404040"/>
          <w:spacing w:val="-15"/>
        </w:rPr>
        <w:t> </w:t>
      </w:r>
      <w:r>
        <w:rPr>
          <w:color w:val="404040"/>
        </w:rPr>
        <w:t>from</w:t>
      </w:r>
      <w:r>
        <w:rPr>
          <w:color w:val="404040"/>
          <w:spacing w:val="-16"/>
        </w:rPr>
        <w:t> </w:t>
      </w:r>
      <w:r>
        <w:rPr>
          <w:color w:val="404040"/>
        </w:rPr>
        <w:t>the</w:t>
      </w:r>
      <w:r>
        <w:rPr>
          <w:color w:val="404040"/>
          <w:spacing w:val="-15"/>
        </w:rPr>
        <w:t> </w:t>
      </w:r>
      <w:r>
        <w:rPr>
          <w:color w:val="404040"/>
        </w:rPr>
        <w:t>following legal regulations:</w:t>
      </w:r>
    </w:p>
    <w:p>
      <w:pPr>
        <w:pStyle w:val="BodyText"/>
        <w:spacing w:before="28"/>
      </w:pPr>
    </w:p>
    <w:p>
      <w:pPr>
        <w:pStyle w:val="ListParagraph"/>
        <w:numPr>
          <w:ilvl w:val="0"/>
          <w:numId w:val="1"/>
        </w:numPr>
        <w:tabs>
          <w:tab w:pos="721" w:val="left" w:leader="none"/>
        </w:tabs>
        <w:spacing w:line="256" w:lineRule="auto" w:before="0" w:after="0"/>
        <w:ind w:left="721" w:right="137" w:hanging="361"/>
        <w:jc w:val="left"/>
        <w:rPr>
          <w:sz w:val="22"/>
        </w:rPr>
      </w:pPr>
      <w:r>
        <w:rPr>
          <w:sz w:val="22"/>
        </w:rPr>
        <w:t>Act No. 87/2018 Coll. on Radiation Protection and on the amendment of certain acts as amended, mainly Articles 18, 19, 36, 40, 41, 55, 57, 58, 59, 60, 61, 62, 64, 65, 66,</w:t>
      </w:r>
    </w:p>
    <w:p>
      <w:pPr>
        <w:pStyle w:val="BodyText"/>
        <w:spacing w:line="256" w:lineRule="auto" w:before="3"/>
        <w:ind w:left="721"/>
      </w:pPr>
      <w:r>
        <w:rPr/>
        <w:t>67,</w:t>
      </w:r>
      <w:r>
        <w:rPr>
          <w:spacing w:val="76"/>
        </w:rPr>
        <w:t> </w:t>
      </w:r>
      <w:r>
        <w:rPr/>
        <w:t>68,</w:t>
      </w:r>
      <w:r>
        <w:rPr>
          <w:spacing w:val="76"/>
        </w:rPr>
        <w:t> </w:t>
      </w:r>
      <w:r>
        <w:rPr/>
        <w:t>69,</w:t>
      </w:r>
      <w:r>
        <w:rPr>
          <w:spacing w:val="76"/>
        </w:rPr>
        <w:t> </w:t>
      </w:r>
      <w:r>
        <w:rPr/>
        <w:t>70,</w:t>
      </w:r>
      <w:r>
        <w:rPr>
          <w:spacing w:val="76"/>
        </w:rPr>
        <w:t> </w:t>
      </w:r>
      <w:r>
        <w:rPr/>
        <w:t>71,</w:t>
      </w:r>
      <w:r>
        <w:rPr>
          <w:spacing w:val="76"/>
        </w:rPr>
        <w:t> </w:t>
      </w:r>
      <w:r>
        <w:rPr/>
        <w:t>72,</w:t>
      </w:r>
      <w:r>
        <w:rPr>
          <w:spacing w:val="76"/>
        </w:rPr>
        <w:t> </w:t>
      </w:r>
      <w:r>
        <w:rPr/>
        <w:t>73</w:t>
      </w:r>
      <w:r>
        <w:rPr>
          <w:spacing w:val="74"/>
        </w:rPr>
        <w:t> </w:t>
      </w:r>
      <w:r>
        <w:rPr/>
        <w:t>Annex</w:t>
      </w:r>
      <w:r>
        <w:rPr>
          <w:spacing w:val="74"/>
        </w:rPr>
        <w:t> </w:t>
      </w:r>
      <w:r>
        <w:rPr/>
        <w:t>8</w:t>
      </w:r>
      <w:r>
        <w:rPr>
          <w:spacing w:val="74"/>
        </w:rPr>
        <w:t> </w:t>
      </w:r>
      <w:r>
        <w:rPr/>
        <w:t>Worker’s</w:t>
      </w:r>
      <w:r>
        <w:rPr>
          <w:spacing w:val="74"/>
        </w:rPr>
        <w:t> </w:t>
      </w:r>
      <w:r>
        <w:rPr/>
        <w:t>personal</w:t>
      </w:r>
      <w:r>
        <w:rPr>
          <w:spacing w:val="73"/>
        </w:rPr>
        <w:t> </w:t>
      </w:r>
      <w:r>
        <w:rPr/>
        <w:t>dose</w:t>
      </w:r>
      <w:r>
        <w:rPr>
          <w:spacing w:val="74"/>
        </w:rPr>
        <w:t> </w:t>
      </w:r>
      <w:r>
        <w:rPr/>
        <w:t>report,</w:t>
      </w:r>
      <w:r>
        <w:rPr>
          <w:spacing w:val="76"/>
        </w:rPr>
        <w:t> </w:t>
      </w:r>
      <w:r>
        <w:rPr/>
        <w:t>Annex</w:t>
      </w:r>
      <w:r>
        <w:rPr>
          <w:spacing w:val="74"/>
        </w:rPr>
        <w:t> </w:t>
      </w:r>
      <w:r>
        <w:rPr/>
        <w:t>6 Documentation of a workplace involving ionising radiation sources</w:t>
      </w:r>
    </w:p>
    <w:p>
      <w:pPr>
        <w:pStyle w:val="ListParagraph"/>
        <w:numPr>
          <w:ilvl w:val="0"/>
          <w:numId w:val="1"/>
        </w:numPr>
        <w:tabs>
          <w:tab w:pos="721" w:val="left" w:leader="none"/>
        </w:tabs>
        <w:spacing w:line="254" w:lineRule="auto" w:before="3" w:after="0"/>
        <w:ind w:left="721" w:right="138" w:hanging="361"/>
        <w:jc w:val="left"/>
        <w:rPr>
          <w:sz w:val="22"/>
        </w:rPr>
      </w:pPr>
      <w:r>
        <w:rPr>
          <w:sz w:val="22"/>
        </w:rPr>
        <w:t>Regulation</w:t>
      </w:r>
      <w:r>
        <w:rPr>
          <w:spacing w:val="-16"/>
          <w:sz w:val="22"/>
        </w:rPr>
        <w:t> </w:t>
      </w:r>
      <w:r>
        <w:rPr>
          <w:sz w:val="22"/>
        </w:rPr>
        <w:t>of</w:t>
      </w:r>
      <w:r>
        <w:rPr>
          <w:spacing w:val="-15"/>
          <w:sz w:val="22"/>
        </w:rPr>
        <w:t> </w:t>
      </w:r>
      <w:r>
        <w:rPr>
          <w:sz w:val="22"/>
        </w:rPr>
        <w:t>the</w:t>
      </w:r>
      <w:r>
        <w:rPr>
          <w:spacing w:val="-15"/>
          <w:sz w:val="22"/>
        </w:rPr>
        <w:t> </w:t>
      </w:r>
      <w:r>
        <w:rPr>
          <w:sz w:val="22"/>
        </w:rPr>
        <w:t>Ministry</w:t>
      </w:r>
      <w:r>
        <w:rPr>
          <w:spacing w:val="-16"/>
          <w:sz w:val="22"/>
        </w:rPr>
        <w:t> </w:t>
      </w:r>
      <w:r>
        <w:rPr>
          <w:sz w:val="22"/>
        </w:rPr>
        <w:t>of</w:t>
      </w:r>
      <w:r>
        <w:rPr>
          <w:spacing w:val="-15"/>
          <w:sz w:val="22"/>
        </w:rPr>
        <w:t> </w:t>
      </w:r>
      <w:r>
        <w:rPr>
          <w:sz w:val="22"/>
        </w:rPr>
        <w:t>Health</w:t>
      </w:r>
      <w:r>
        <w:rPr>
          <w:spacing w:val="-15"/>
          <w:sz w:val="22"/>
        </w:rPr>
        <w:t> </w:t>
      </w:r>
      <w:r>
        <w:rPr>
          <w:sz w:val="22"/>
        </w:rPr>
        <w:t>of</w:t>
      </w:r>
      <w:r>
        <w:rPr>
          <w:spacing w:val="-15"/>
          <w:sz w:val="22"/>
        </w:rPr>
        <w:t> </w:t>
      </w:r>
      <w:r>
        <w:rPr>
          <w:sz w:val="22"/>
        </w:rPr>
        <w:t>the</w:t>
      </w:r>
      <w:r>
        <w:rPr>
          <w:spacing w:val="-14"/>
          <w:sz w:val="22"/>
        </w:rPr>
        <w:t> </w:t>
      </w:r>
      <w:r>
        <w:rPr>
          <w:sz w:val="22"/>
        </w:rPr>
        <w:t>SR</w:t>
      </w:r>
      <w:r>
        <w:rPr>
          <w:spacing w:val="-15"/>
          <w:sz w:val="22"/>
        </w:rPr>
        <w:t> </w:t>
      </w:r>
      <w:r>
        <w:rPr>
          <w:sz w:val="22"/>
        </w:rPr>
        <w:t>No.</w:t>
      </w:r>
      <w:r>
        <w:rPr>
          <w:spacing w:val="-13"/>
          <w:sz w:val="22"/>
        </w:rPr>
        <w:t> </w:t>
      </w:r>
      <w:r>
        <w:rPr>
          <w:sz w:val="22"/>
        </w:rPr>
        <w:t>99/2018</w:t>
      </w:r>
      <w:r>
        <w:rPr>
          <w:spacing w:val="-15"/>
          <w:sz w:val="22"/>
        </w:rPr>
        <w:t> </w:t>
      </w:r>
      <w:r>
        <w:rPr>
          <w:sz w:val="22"/>
        </w:rPr>
        <w:t>Coll.</w:t>
      </w:r>
      <w:r>
        <w:rPr>
          <w:spacing w:val="-13"/>
          <w:sz w:val="22"/>
        </w:rPr>
        <w:t> </w:t>
      </w:r>
      <w:r>
        <w:rPr>
          <w:sz w:val="22"/>
        </w:rPr>
        <w:t>on</w:t>
      </w:r>
      <w:r>
        <w:rPr>
          <w:spacing w:val="-16"/>
          <w:sz w:val="22"/>
        </w:rPr>
        <w:t> </w:t>
      </w:r>
      <w:r>
        <w:rPr>
          <w:sz w:val="22"/>
        </w:rPr>
        <w:t>Radiation</w:t>
      </w:r>
      <w:r>
        <w:rPr>
          <w:spacing w:val="-14"/>
          <w:sz w:val="22"/>
        </w:rPr>
        <w:t> </w:t>
      </w:r>
      <w:r>
        <w:rPr>
          <w:sz w:val="22"/>
        </w:rPr>
        <w:t>Protection Assurance as amended, mainly Articles 11, 12, 13, 17, 19, 21, 24, 25, 27, 28, 32</w:t>
      </w:r>
    </w:p>
    <w:p>
      <w:pPr>
        <w:pStyle w:val="BodyText"/>
        <w:spacing w:before="33"/>
      </w:pPr>
    </w:p>
    <w:p>
      <w:pPr>
        <w:pStyle w:val="BodyText"/>
        <w:ind w:left="1" w:right="137" w:firstLine="708"/>
        <w:jc w:val="both"/>
      </w:pPr>
      <w:r>
        <w:rPr/>
        <w:t>The legitimate interest pursued by the Company in processing your personal data consists in the effective and reliable performance of activities in the application of radiation protection measures, the consistent compliance with the Company's legal and other obligations in the field of radiation protection and the consistent control and protection of the health of persons entering the protected area.</w:t>
      </w:r>
    </w:p>
    <w:p>
      <w:pPr>
        <w:pStyle w:val="BodyText"/>
        <w:spacing w:before="25"/>
      </w:pPr>
    </w:p>
    <w:p>
      <w:pPr>
        <w:pStyle w:val="BodyText"/>
        <w:spacing w:line="242" w:lineRule="auto"/>
        <w:ind w:left="1" w:right="135" w:firstLine="708"/>
        <w:jc w:val="both"/>
      </w:pPr>
      <w:r>
        <w:rPr/>
        <w:t>The data related to health are processed based on Art. 9 (2) (b) of the General Data Protection</w:t>
      </w:r>
      <w:r>
        <w:rPr>
          <w:spacing w:val="-5"/>
        </w:rPr>
        <w:t> </w:t>
      </w:r>
      <w:r>
        <w:rPr/>
        <w:t>Regulation</w:t>
      </w:r>
      <w:r>
        <w:rPr>
          <w:spacing w:val="-5"/>
        </w:rPr>
        <w:t> </w:t>
      </w:r>
      <w:r>
        <w:rPr/>
        <w:t>in</w:t>
      </w:r>
      <w:r>
        <w:rPr>
          <w:spacing w:val="-7"/>
        </w:rPr>
        <w:t> </w:t>
      </w:r>
      <w:r>
        <w:rPr/>
        <w:t>association</w:t>
      </w:r>
      <w:r>
        <w:rPr>
          <w:spacing w:val="-5"/>
        </w:rPr>
        <w:t> </w:t>
      </w:r>
      <w:r>
        <w:rPr/>
        <w:t>with</w:t>
      </w:r>
      <w:r>
        <w:rPr>
          <w:spacing w:val="-5"/>
        </w:rPr>
        <w:t> </w:t>
      </w:r>
      <w:r>
        <w:rPr/>
        <w:t>articles</w:t>
      </w:r>
      <w:r>
        <w:rPr>
          <w:spacing w:val="-7"/>
        </w:rPr>
        <w:t> </w:t>
      </w:r>
      <w:r>
        <w:rPr/>
        <w:t>15,</w:t>
      </w:r>
      <w:r>
        <w:rPr>
          <w:spacing w:val="-4"/>
        </w:rPr>
        <w:t> </w:t>
      </w:r>
      <w:r>
        <w:rPr/>
        <w:t>19,</w:t>
      </w:r>
      <w:r>
        <w:rPr>
          <w:spacing w:val="-4"/>
        </w:rPr>
        <w:t> </w:t>
      </w:r>
      <w:r>
        <w:rPr/>
        <w:t>36,</w:t>
      </w:r>
      <w:r>
        <w:rPr>
          <w:spacing w:val="-4"/>
        </w:rPr>
        <w:t> </w:t>
      </w:r>
      <w:r>
        <w:rPr/>
        <w:t>40,</w:t>
      </w:r>
      <w:r>
        <w:rPr>
          <w:spacing w:val="-4"/>
        </w:rPr>
        <w:t> </w:t>
      </w:r>
      <w:r>
        <w:rPr/>
        <w:t>55,</w:t>
      </w:r>
      <w:r>
        <w:rPr>
          <w:spacing w:val="-4"/>
        </w:rPr>
        <w:t> </w:t>
      </w:r>
      <w:r>
        <w:rPr/>
        <w:t>61,</w:t>
      </w:r>
      <w:r>
        <w:rPr>
          <w:spacing w:val="-4"/>
        </w:rPr>
        <w:t> </w:t>
      </w:r>
      <w:r>
        <w:rPr/>
        <w:t>62,</w:t>
      </w:r>
      <w:r>
        <w:rPr>
          <w:spacing w:val="-4"/>
        </w:rPr>
        <w:t> </w:t>
      </w:r>
      <w:r>
        <w:rPr/>
        <w:t>64,</w:t>
      </w:r>
      <w:r>
        <w:rPr>
          <w:spacing w:val="-4"/>
        </w:rPr>
        <w:t> </w:t>
      </w:r>
      <w:r>
        <w:rPr/>
        <w:t>65,</w:t>
      </w:r>
      <w:r>
        <w:rPr>
          <w:spacing w:val="-12"/>
        </w:rPr>
        <w:t> </w:t>
      </w:r>
      <w:r>
        <w:rPr/>
        <w:t>67,</w:t>
      </w:r>
      <w:r>
        <w:rPr>
          <w:spacing w:val="-6"/>
        </w:rPr>
        <w:t> </w:t>
      </w:r>
      <w:r>
        <w:rPr/>
        <w:t>70,</w:t>
      </w:r>
      <w:r>
        <w:rPr>
          <w:spacing w:val="-6"/>
        </w:rPr>
        <w:t> </w:t>
      </w:r>
      <w:r>
        <w:rPr/>
        <w:t>71, 72,</w:t>
      </w:r>
      <w:r>
        <w:rPr>
          <w:spacing w:val="-1"/>
        </w:rPr>
        <w:t> </w:t>
      </w:r>
      <w:r>
        <w:rPr/>
        <w:t>73,</w:t>
      </w:r>
      <w:r>
        <w:rPr>
          <w:spacing w:val="-1"/>
        </w:rPr>
        <w:t> </w:t>
      </w:r>
      <w:r>
        <w:rPr/>
        <w:t>Annex</w:t>
      </w:r>
      <w:r>
        <w:rPr>
          <w:spacing w:val="-4"/>
        </w:rPr>
        <w:t> </w:t>
      </w:r>
      <w:r>
        <w:rPr/>
        <w:t>6</w:t>
      </w:r>
      <w:r>
        <w:rPr>
          <w:spacing w:val="-2"/>
        </w:rPr>
        <w:t> </w:t>
      </w:r>
      <w:r>
        <w:rPr/>
        <w:t>Documentation</w:t>
      </w:r>
      <w:r>
        <w:rPr>
          <w:spacing w:val="-2"/>
        </w:rPr>
        <w:t> </w:t>
      </w:r>
      <w:r>
        <w:rPr/>
        <w:t>of</w:t>
      </w:r>
      <w:r>
        <w:rPr>
          <w:spacing w:val="-3"/>
        </w:rPr>
        <w:t> </w:t>
      </w:r>
      <w:r>
        <w:rPr/>
        <w:t>a</w:t>
      </w:r>
      <w:r>
        <w:rPr>
          <w:spacing w:val="-2"/>
        </w:rPr>
        <w:t> </w:t>
      </w:r>
      <w:r>
        <w:rPr/>
        <w:t>workplace</w:t>
      </w:r>
      <w:r>
        <w:rPr>
          <w:spacing w:val="-2"/>
        </w:rPr>
        <w:t> </w:t>
      </w:r>
      <w:r>
        <w:rPr/>
        <w:t>involving</w:t>
      </w:r>
      <w:r>
        <w:rPr>
          <w:spacing w:val="-2"/>
        </w:rPr>
        <w:t> </w:t>
      </w:r>
      <w:r>
        <w:rPr/>
        <w:t>ionising</w:t>
      </w:r>
      <w:r>
        <w:rPr>
          <w:spacing w:val="-2"/>
        </w:rPr>
        <w:t> </w:t>
      </w:r>
      <w:r>
        <w:rPr/>
        <w:t>radiation sources</w:t>
      </w:r>
      <w:r>
        <w:rPr>
          <w:spacing w:val="-1"/>
        </w:rPr>
        <w:t> </w:t>
      </w:r>
      <w:r>
        <w:rPr/>
        <w:t>of</w:t>
      </w:r>
      <w:r>
        <w:rPr>
          <w:spacing w:val="-1"/>
        </w:rPr>
        <w:t> </w:t>
      </w:r>
      <w:r>
        <w:rPr/>
        <w:t>Act</w:t>
      </w:r>
      <w:r>
        <w:rPr>
          <w:spacing w:val="-1"/>
        </w:rPr>
        <w:t> </w:t>
      </w:r>
      <w:r>
        <w:rPr/>
        <w:t>No. 87/2018 Coll. on Radiation Protection and on the amendment of certain acts as amended, Articles 12, 24, 25 of Regulation No. 99/2018 Coll. on Radiation Protection Assurance as </w:t>
      </w:r>
      <w:r>
        <w:rPr>
          <w:spacing w:val="-2"/>
        </w:rPr>
        <w:t>amended.</w:t>
      </w:r>
    </w:p>
    <w:p>
      <w:pPr>
        <w:pStyle w:val="BodyText"/>
        <w:spacing w:before="28"/>
      </w:pPr>
    </w:p>
    <w:p>
      <w:pPr>
        <w:pStyle w:val="Heading1"/>
        <w:spacing w:before="1"/>
        <w:ind w:right="135" w:firstLine="708"/>
        <w:jc w:val="both"/>
      </w:pPr>
      <w:r>
        <w:rPr>
          <w:color w:val="253A96"/>
        </w:rPr>
        <w:t>If</w:t>
      </w:r>
      <w:r>
        <w:rPr>
          <w:color w:val="253A96"/>
          <w:spacing w:val="-5"/>
        </w:rPr>
        <w:t> </w:t>
      </w:r>
      <w:r>
        <w:rPr>
          <w:color w:val="253A96"/>
        </w:rPr>
        <w:t>we</w:t>
      </w:r>
      <w:r>
        <w:rPr>
          <w:color w:val="253A96"/>
          <w:spacing w:val="-4"/>
        </w:rPr>
        <w:t> </w:t>
      </w:r>
      <w:r>
        <w:rPr>
          <w:color w:val="253A96"/>
        </w:rPr>
        <w:t>do</w:t>
      </w:r>
      <w:r>
        <w:rPr>
          <w:color w:val="253A96"/>
          <w:spacing w:val="-4"/>
        </w:rPr>
        <w:t> </w:t>
      </w:r>
      <w:r>
        <w:rPr>
          <w:color w:val="253A96"/>
        </w:rPr>
        <w:t>not</w:t>
      </w:r>
      <w:r>
        <w:rPr>
          <w:color w:val="253A96"/>
          <w:spacing w:val="-3"/>
        </w:rPr>
        <w:t> </w:t>
      </w:r>
      <w:r>
        <w:rPr>
          <w:color w:val="253A96"/>
        </w:rPr>
        <w:t>obtain</w:t>
      </w:r>
      <w:r>
        <w:rPr>
          <w:color w:val="253A96"/>
          <w:spacing w:val="-4"/>
        </w:rPr>
        <w:t> </w:t>
      </w:r>
      <w:r>
        <w:rPr>
          <w:color w:val="253A96"/>
        </w:rPr>
        <w:t>personal</w:t>
      </w:r>
      <w:r>
        <w:rPr>
          <w:color w:val="253A96"/>
          <w:spacing w:val="-2"/>
        </w:rPr>
        <w:t> </w:t>
      </w:r>
      <w:r>
        <w:rPr>
          <w:color w:val="253A96"/>
        </w:rPr>
        <w:t>data</w:t>
      </w:r>
      <w:r>
        <w:rPr>
          <w:color w:val="253A96"/>
          <w:spacing w:val="-6"/>
        </w:rPr>
        <w:t> </w:t>
      </w:r>
      <w:r>
        <w:rPr>
          <w:color w:val="253A96"/>
        </w:rPr>
        <w:t>from</w:t>
      </w:r>
      <w:r>
        <w:rPr>
          <w:color w:val="253A96"/>
          <w:spacing w:val="-3"/>
        </w:rPr>
        <w:t> </w:t>
      </w:r>
      <w:r>
        <w:rPr>
          <w:color w:val="253A96"/>
        </w:rPr>
        <w:t>you,</w:t>
      </w:r>
      <w:r>
        <w:rPr>
          <w:color w:val="253A96"/>
          <w:spacing w:val="-2"/>
        </w:rPr>
        <w:t> </w:t>
      </w:r>
      <w:r>
        <w:rPr>
          <w:color w:val="253A96"/>
        </w:rPr>
        <w:t>the</w:t>
      </w:r>
      <w:r>
        <w:rPr>
          <w:color w:val="253A96"/>
          <w:spacing w:val="-2"/>
        </w:rPr>
        <w:t> </w:t>
      </w:r>
      <w:r>
        <w:rPr>
          <w:color w:val="253A96"/>
        </w:rPr>
        <w:t>source</w:t>
      </w:r>
      <w:r>
        <w:rPr>
          <w:color w:val="253A96"/>
          <w:spacing w:val="-4"/>
        </w:rPr>
        <w:t> </w:t>
      </w:r>
      <w:r>
        <w:rPr>
          <w:color w:val="253A96"/>
        </w:rPr>
        <w:t>of</w:t>
      </w:r>
      <w:r>
        <w:rPr>
          <w:color w:val="253A96"/>
          <w:spacing w:val="-3"/>
        </w:rPr>
        <w:t> </w:t>
      </w:r>
      <w:r>
        <w:rPr>
          <w:color w:val="253A96"/>
        </w:rPr>
        <w:t>the</w:t>
      </w:r>
      <w:r>
        <w:rPr>
          <w:color w:val="253A96"/>
          <w:spacing w:val="-4"/>
        </w:rPr>
        <w:t> </w:t>
      </w:r>
      <w:r>
        <w:rPr>
          <w:color w:val="253A96"/>
        </w:rPr>
        <w:t>personal</w:t>
      </w:r>
      <w:r>
        <w:rPr>
          <w:color w:val="253A96"/>
          <w:spacing w:val="-2"/>
        </w:rPr>
        <w:t> </w:t>
      </w:r>
      <w:r>
        <w:rPr>
          <w:color w:val="253A96"/>
        </w:rPr>
        <w:t>data</w:t>
      </w:r>
      <w:r>
        <w:rPr>
          <w:color w:val="253A96"/>
          <w:spacing w:val="-6"/>
        </w:rPr>
        <w:t> </w:t>
      </w:r>
      <w:r>
        <w:rPr>
          <w:color w:val="253A96"/>
        </w:rPr>
        <w:t>is</w:t>
      </w:r>
      <w:r>
        <w:rPr>
          <w:color w:val="253A96"/>
          <w:spacing w:val="-4"/>
        </w:rPr>
        <w:t> </w:t>
      </w:r>
      <w:r>
        <w:rPr>
          <w:color w:val="253A96"/>
        </w:rPr>
        <w:t>as </w:t>
      </w:r>
      <w:r>
        <w:rPr>
          <w:color w:val="253A96"/>
          <w:spacing w:val="-2"/>
        </w:rPr>
        <w:t>follows:</w:t>
      </w:r>
    </w:p>
    <w:p>
      <w:pPr>
        <w:pStyle w:val="BodyText"/>
        <w:spacing w:before="27"/>
        <w:rPr>
          <w:b/>
        </w:rPr>
      </w:pPr>
    </w:p>
    <w:p>
      <w:pPr>
        <w:pStyle w:val="ListParagraph"/>
        <w:numPr>
          <w:ilvl w:val="0"/>
          <w:numId w:val="1"/>
        </w:numPr>
        <w:tabs>
          <w:tab w:pos="719" w:val="left" w:leader="none"/>
          <w:tab w:pos="721" w:val="left" w:leader="none"/>
        </w:tabs>
        <w:spacing w:line="259" w:lineRule="auto" w:before="0" w:after="0"/>
        <w:ind w:left="721" w:right="140" w:hanging="361"/>
        <w:jc w:val="both"/>
        <w:rPr>
          <w:sz w:val="22"/>
        </w:rPr>
      </w:pPr>
      <w:r>
        <w:rPr>
          <w:sz w:val="22"/>
        </w:rPr>
        <w:t>The personal data related to the evaluation of the data subjects’ personal monitoring are obtained by the Company from the dosimetry service provider Slovenská legálna metrológia, n.o. (</w:t>
      </w:r>
      <w:r>
        <w:rPr>
          <w:i/>
          <w:sz w:val="22"/>
        </w:rPr>
        <w:t>Slovak Legal Metrology</w:t>
      </w:r>
      <w:r>
        <w:rPr>
          <w:sz w:val="22"/>
        </w:rPr>
        <w:t>).</w:t>
      </w:r>
    </w:p>
    <w:p>
      <w:pPr>
        <w:pStyle w:val="ListParagraph"/>
        <w:numPr>
          <w:ilvl w:val="0"/>
          <w:numId w:val="1"/>
        </w:numPr>
        <w:tabs>
          <w:tab w:pos="719" w:val="left" w:leader="none"/>
          <w:tab w:pos="721" w:val="left" w:leader="none"/>
        </w:tabs>
        <w:spacing w:line="256" w:lineRule="auto" w:before="0" w:after="0"/>
        <w:ind w:left="721" w:right="136" w:hanging="361"/>
        <w:jc w:val="both"/>
        <w:rPr>
          <w:sz w:val="22"/>
        </w:rPr>
      </w:pPr>
      <w:r>
        <w:rPr>
          <w:sz w:val="22"/>
        </w:rPr>
        <w:t>The</w:t>
      </w:r>
      <w:r>
        <w:rPr>
          <w:spacing w:val="-4"/>
          <w:sz w:val="22"/>
        </w:rPr>
        <w:t> </w:t>
      </w:r>
      <w:r>
        <w:rPr>
          <w:sz w:val="22"/>
        </w:rPr>
        <w:t>data</w:t>
      </w:r>
      <w:r>
        <w:rPr>
          <w:spacing w:val="-6"/>
          <w:sz w:val="22"/>
        </w:rPr>
        <w:t> </w:t>
      </w:r>
      <w:r>
        <w:rPr>
          <w:sz w:val="22"/>
        </w:rPr>
        <w:t>related</w:t>
      </w:r>
      <w:r>
        <w:rPr>
          <w:spacing w:val="-7"/>
          <w:sz w:val="22"/>
        </w:rPr>
        <w:t> </w:t>
      </w:r>
      <w:r>
        <w:rPr>
          <w:sz w:val="22"/>
        </w:rPr>
        <w:t>to</w:t>
      </w:r>
      <w:r>
        <w:rPr>
          <w:spacing w:val="-4"/>
          <w:sz w:val="22"/>
        </w:rPr>
        <w:t> </w:t>
      </w:r>
      <w:r>
        <w:rPr>
          <w:sz w:val="22"/>
        </w:rPr>
        <w:t>employment</w:t>
      </w:r>
      <w:r>
        <w:rPr>
          <w:spacing w:val="-5"/>
          <w:sz w:val="22"/>
        </w:rPr>
        <w:t> </w:t>
      </w:r>
      <w:r>
        <w:rPr>
          <w:sz w:val="22"/>
        </w:rPr>
        <w:t>(personal</w:t>
      </w:r>
      <w:r>
        <w:rPr>
          <w:spacing w:val="-5"/>
          <w:sz w:val="22"/>
        </w:rPr>
        <w:t> </w:t>
      </w:r>
      <w:r>
        <w:rPr>
          <w:sz w:val="22"/>
        </w:rPr>
        <w:t>number,</w:t>
      </w:r>
      <w:r>
        <w:rPr>
          <w:spacing w:val="-5"/>
          <w:sz w:val="22"/>
        </w:rPr>
        <w:t> </w:t>
      </w:r>
      <w:r>
        <w:rPr>
          <w:sz w:val="22"/>
        </w:rPr>
        <w:t>ID</w:t>
      </w:r>
      <w:r>
        <w:rPr>
          <w:spacing w:val="-5"/>
          <w:sz w:val="22"/>
        </w:rPr>
        <w:t> </w:t>
      </w:r>
      <w:r>
        <w:rPr>
          <w:sz w:val="22"/>
        </w:rPr>
        <w:t>badge</w:t>
      </w:r>
      <w:r>
        <w:rPr>
          <w:spacing w:val="-4"/>
          <w:sz w:val="22"/>
        </w:rPr>
        <w:t> </w:t>
      </w:r>
      <w:r>
        <w:rPr>
          <w:sz w:val="22"/>
        </w:rPr>
        <w:t>number,</w:t>
      </w:r>
      <w:r>
        <w:rPr>
          <w:spacing w:val="-3"/>
          <w:sz w:val="22"/>
        </w:rPr>
        <w:t> </w:t>
      </w:r>
      <w:r>
        <w:rPr>
          <w:sz w:val="22"/>
        </w:rPr>
        <w:t>department,</w:t>
      </w:r>
      <w:r>
        <w:rPr>
          <w:spacing w:val="-5"/>
          <w:sz w:val="22"/>
        </w:rPr>
        <w:t> </w:t>
      </w:r>
      <w:r>
        <w:rPr>
          <w:sz w:val="22"/>
        </w:rPr>
        <w:t>job position, data specifying if the employee is a shift worker), data</w:t>
      </w:r>
      <w:r>
        <w:rPr>
          <w:spacing w:val="-2"/>
          <w:sz w:val="22"/>
        </w:rPr>
        <w:t> </w:t>
      </w:r>
      <w:r>
        <w:rPr>
          <w:sz w:val="22"/>
        </w:rPr>
        <w:t>related</w:t>
      </w:r>
      <w:r>
        <w:rPr>
          <w:spacing w:val="-2"/>
          <w:sz w:val="22"/>
        </w:rPr>
        <w:t> </w:t>
      </w:r>
      <w:r>
        <w:rPr>
          <w:sz w:val="22"/>
        </w:rPr>
        <w:t>to the workers classification (category A, category B) are provided by the Company.</w:t>
      </w:r>
    </w:p>
    <w:p>
      <w:pPr>
        <w:pStyle w:val="ListParagraph"/>
        <w:numPr>
          <w:ilvl w:val="0"/>
          <w:numId w:val="1"/>
        </w:numPr>
        <w:tabs>
          <w:tab w:pos="720" w:val="left" w:leader="none"/>
        </w:tabs>
        <w:spacing w:line="240" w:lineRule="auto" w:before="1" w:after="0"/>
        <w:ind w:left="720" w:right="0" w:hanging="359"/>
        <w:jc w:val="both"/>
        <w:rPr>
          <w:sz w:val="22"/>
        </w:rPr>
      </w:pPr>
      <w:r>
        <w:rPr>
          <w:sz w:val="22"/>
        </w:rPr>
        <w:t>Personal</w:t>
      </w:r>
      <w:r>
        <w:rPr>
          <w:spacing w:val="-6"/>
          <w:sz w:val="22"/>
        </w:rPr>
        <w:t> </w:t>
      </w:r>
      <w:r>
        <w:rPr>
          <w:sz w:val="22"/>
        </w:rPr>
        <w:t>data</w:t>
      </w:r>
      <w:r>
        <w:rPr>
          <w:spacing w:val="-6"/>
          <w:sz w:val="22"/>
        </w:rPr>
        <w:t> </w:t>
      </w:r>
      <w:r>
        <w:rPr>
          <w:sz w:val="22"/>
        </w:rPr>
        <w:t>of</w:t>
      </w:r>
      <w:r>
        <w:rPr>
          <w:spacing w:val="-4"/>
          <w:sz w:val="22"/>
        </w:rPr>
        <w:t> </w:t>
      </w:r>
      <w:r>
        <w:rPr>
          <w:sz w:val="22"/>
        </w:rPr>
        <w:t>external</w:t>
      </w:r>
      <w:r>
        <w:rPr>
          <w:spacing w:val="-6"/>
          <w:sz w:val="22"/>
        </w:rPr>
        <w:t> </w:t>
      </w:r>
      <w:r>
        <w:rPr>
          <w:sz w:val="22"/>
        </w:rPr>
        <w:t>workers</w:t>
      </w:r>
      <w:r>
        <w:rPr>
          <w:spacing w:val="-3"/>
          <w:sz w:val="22"/>
        </w:rPr>
        <w:t> </w:t>
      </w:r>
      <w:r>
        <w:rPr>
          <w:sz w:val="22"/>
        </w:rPr>
        <w:t>are</w:t>
      </w:r>
      <w:r>
        <w:rPr>
          <w:spacing w:val="-4"/>
          <w:sz w:val="22"/>
        </w:rPr>
        <w:t> </w:t>
      </w:r>
      <w:r>
        <w:rPr>
          <w:sz w:val="22"/>
        </w:rPr>
        <w:t>obtained</w:t>
      </w:r>
      <w:r>
        <w:rPr>
          <w:spacing w:val="-3"/>
          <w:sz w:val="22"/>
        </w:rPr>
        <w:t> </w:t>
      </w:r>
      <w:r>
        <w:rPr>
          <w:sz w:val="22"/>
        </w:rPr>
        <w:t>by</w:t>
      </w:r>
      <w:r>
        <w:rPr>
          <w:spacing w:val="-6"/>
          <w:sz w:val="22"/>
        </w:rPr>
        <w:t> </w:t>
      </w:r>
      <w:r>
        <w:rPr>
          <w:sz w:val="22"/>
        </w:rPr>
        <w:t>the</w:t>
      </w:r>
      <w:r>
        <w:rPr>
          <w:spacing w:val="-6"/>
          <w:sz w:val="22"/>
        </w:rPr>
        <w:t> </w:t>
      </w:r>
      <w:r>
        <w:rPr>
          <w:sz w:val="22"/>
        </w:rPr>
        <w:t>Company</w:t>
      </w:r>
      <w:r>
        <w:rPr>
          <w:spacing w:val="-5"/>
          <w:sz w:val="22"/>
        </w:rPr>
        <w:t> </w:t>
      </w:r>
      <w:r>
        <w:rPr>
          <w:sz w:val="22"/>
        </w:rPr>
        <w:t>from</w:t>
      </w:r>
      <w:r>
        <w:rPr>
          <w:spacing w:val="-7"/>
          <w:sz w:val="22"/>
        </w:rPr>
        <w:t> </w:t>
      </w:r>
      <w:r>
        <w:rPr>
          <w:sz w:val="22"/>
        </w:rPr>
        <w:t>their</w:t>
      </w:r>
      <w:r>
        <w:rPr>
          <w:spacing w:val="-4"/>
          <w:sz w:val="22"/>
        </w:rPr>
        <w:t> </w:t>
      </w:r>
      <w:r>
        <w:rPr>
          <w:spacing w:val="-2"/>
          <w:sz w:val="22"/>
        </w:rPr>
        <w:t>employer</w:t>
      </w:r>
    </w:p>
    <w:p>
      <w:pPr>
        <w:pStyle w:val="BodyText"/>
        <w:spacing w:before="37"/>
      </w:pPr>
    </w:p>
    <w:p>
      <w:pPr>
        <w:pStyle w:val="Heading1"/>
        <w:ind w:left="721"/>
      </w:pPr>
      <w:r>
        <w:rPr>
          <w:color w:val="253A96"/>
        </w:rPr>
        <w:t>To</w:t>
      </w:r>
      <w:r>
        <w:rPr>
          <w:color w:val="253A96"/>
          <w:spacing w:val="-8"/>
        </w:rPr>
        <w:t> </w:t>
      </w:r>
      <w:r>
        <w:rPr>
          <w:color w:val="253A96"/>
        </w:rPr>
        <w:t>whom</w:t>
      </w:r>
      <w:r>
        <w:rPr>
          <w:color w:val="253A96"/>
          <w:spacing w:val="-2"/>
        </w:rPr>
        <w:t> </w:t>
      </w:r>
      <w:r>
        <w:rPr>
          <w:color w:val="253A96"/>
        </w:rPr>
        <w:t>do</w:t>
      </w:r>
      <w:r>
        <w:rPr>
          <w:color w:val="253A96"/>
          <w:spacing w:val="-5"/>
        </w:rPr>
        <w:t> </w:t>
      </w:r>
      <w:r>
        <w:rPr>
          <w:color w:val="253A96"/>
        </w:rPr>
        <w:t>we</w:t>
      </w:r>
      <w:r>
        <w:rPr>
          <w:color w:val="253A96"/>
          <w:spacing w:val="-5"/>
        </w:rPr>
        <w:t> </w:t>
      </w:r>
      <w:r>
        <w:rPr>
          <w:color w:val="253A96"/>
        </w:rPr>
        <w:t>provide</w:t>
      </w:r>
      <w:r>
        <w:rPr>
          <w:color w:val="253A96"/>
          <w:spacing w:val="-4"/>
        </w:rPr>
        <w:t> </w:t>
      </w:r>
      <w:r>
        <w:rPr>
          <w:color w:val="253A96"/>
        </w:rPr>
        <w:t>personal</w:t>
      </w:r>
      <w:r>
        <w:rPr>
          <w:color w:val="253A96"/>
          <w:spacing w:val="-3"/>
        </w:rPr>
        <w:t> </w:t>
      </w:r>
      <w:r>
        <w:rPr>
          <w:color w:val="253A96"/>
        </w:rPr>
        <w:t>data</w:t>
      </w:r>
      <w:r>
        <w:rPr>
          <w:color w:val="253A96"/>
          <w:spacing w:val="-5"/>
        </w:rPr>
        <w:t> </w:t>
      </w:r>
      <w:r>
        <w:rPr>
          <w:color w:val="253A96"/>
        </w:rPr>
        <w:t>(so-called</w:t>
      </w:r>
      <w:r>
        <w:rPr>
          <w:color w:val="253A96"/>
          <w:spacing w:val="-3"/>
        </w:rPr>
        <w:t> </w:t>
      </w:r>
      <w:r>
        <w:rPr>
          <w:color w:val="253A96"/>
        </w:rPr>
        <w:t>data</w:t>
      </w:r>
      <w:r>
        <w:rPr>
          <w:color w:val="253A96"/>
          <w:spacing w:val="-5"/>
        </w:rPr>
        <w:t> </w:t>
      </w:r>
      <w:r>
        <w:rPr>
          <w:color w:val="253A96"/>
          <w:spacing w:val="-2"/>
        </w:rPr>
        <w:t>recipient)?</w:t>
      </w:r>
    </w:p>
    <w:p>
      <w:pPr>
        <w:pStyle w:val="BodyText"/>
        <w:spacing w:before="46"/>
        <w:rPr>
          <w:b/>
        </w:rPr>
      </w:pPr>
    </w:p>
    <w:p>
      <w:pPr>
        <w:pStyle w:val="BodyText"/>
        <w:ind w:left="1" w:right="136" w:firstLine="707"/>
        <w:jc w:val="both"/>
      </w:pPr>
      <w:r>
        <w:rPr/>
        <w:t>Data recipients include the company Ochrana a</w:t>
      </w:r>
      <w:r>
        <w:rPr>
          <w:spacing w:val="-4"/>
        </w:rPr>
        <w:t> </w:t>
      </w:r>
      <w:r>
        <w:rPr/>
        <w:t>bezpečnosť SE, a.s., the company JAVYS,</w:t>
      </w:r>
      <w:r>
        <w:rPr>
          <w:spacing w:val="-16"/>
        </w:rPr>
        <w:t> </w:t>
      </w:r>
      <w:r>
        <w:rPr/>
        <w:t>a.s.,</w:t>
      </w:r>
      <w:r>
        <w:rPr>
          <w:spacing w:val="-15"/>
        </w:rPr>
        <w:t> </w:t>
      </w:r>
      <w:r>
        <w:rPr/>
        <w:t>Slovenská</w:t>
      </w:r>
      <w:r>
        <w:rPr>
          <w:spacing w:val="-15"/>
        </w:rPr>
        <w:t> </w:t>
      </w:r>
      <w:r>
        <w:rPr/>
        <w:t>legálna</w:t>
      </w:r>
      <w:r>
        <w:rPr>
          <w:spacing w:val="-16"/>
        </w:rPr>
        <w:t> </w:t>
      </w:r>
      <w:r>
        <w:rPr/>
        <w:t>metrológia,</w:t>
      </w:r>
      <w:r>
        <w:rPr>
          <w:spacing w:val="-15"/>
        </w:rPr>
        <w:t> </w:t>
      </w:r>
      <w:r>
        <w:rPr/>
        <w:t>n.o.,</w:t>
      </w:r>
      <w:r>
        <w:rPr>
          <w:spacing w:val="-15"/>
        </w:rPr>
        <w:t> </w:t>
      </w:r>
      <w:r>
        <w:rPr/>
        <w:t>Public</w:t>
      </w:r>
      <w:r>
        <w:rPr>
          <w:spacing w:val="-15"/>
        </w:rPr>
        <w:t> </w:t>
      </w:r>
      <w:r>
        <w:rPr/>
        <w:t>Health</w:t>
      </w:r>
      <w:r>
        <w:rPr>
          <w:spacing w:val="-16"/>
        </w:rPr>
        <w:t> </w:t>
      </w:r>
      <w:r>
        <w:rPr/>
        <w:t>Authority,</w:t>
      </w:r>
      <w:r>
        <w:rPr>
          <w:spacing w:val="-15"/>
        </w:rPr>
        <w:t> </w:t>
      </w:r>
      <w:r>
        <w:rPr/>
        <w:t>occupational</w:t>
      </w:r>
      <w:r>
        <w:rPr>
          <w:spacing w:val="-15"/>
        </w:rPr>
        <w:t> </w:t>
      </w:r>
      <w:r>
        <w:rPr/>
        <w:t>medical service provider, servicing and support service providers, external worker’s employer.</w:t>
      </w:r>
    </w:p>
    <w:p>
      <w:pPr>
        <w:pStyle w:val="BodyText"/>
        <w:spacing w:before="27"/>
      </w:pPr>
    </w:p>
    <w:p>
      <w:pPr>
        <w:pStyle w:val="Heading1"/>
        <w:ind w:right="136" w:firstLine="708"/>
        <w:jc w:val="both"/>
      </w:pPr>
      <w:r>
        <w:rPr>
          <w:color w:val="253A96"/>
        </w:rPr>
        <w:t>Does the processing of your personal data involve a transfer of your personal data to a third country or international organisation?</w:t>
      </w:r>
    </w:p>
    <w:p>
      <w:pPr>
        <w:pStyle w:val="BodyText"/>
        <w:spacing w:before="28"/>
        <w:rPr>
          <w:b/>
        </w:rPr>
      </w:pPr>
    </w:p>
    <w:p>
      <w:pPr>
        <w:pStyle w:val="BodyText"/>
        <w:ind w:left="1" w:right="138" w:firstLine="708"/>
        <w:jc w:val="both"/>
      </w:pPr>
      <w:r>
        <w:rPr>
          <w:color w:val="2C2C2C"/>
        </w:rPr>
        <w:t>The</w:t>
      </w:r>
      <w:r>
        <w:rPr>
          <w:color w:val="2C2C2C"/>
          <w:spacing w:val="-7"/>
        </w:rPr>
        <w:t> </w:t>
      </w:r>
      <w:r>
        <w:rPr>
          <w:color w:val="2C2C2C"/>
        </w:rPr>
        <w:t>processing</w:t>
      </w:r>
      <w:r>
        <w:rPr>
          <w:color w:val="2C2C2C"/>
          <w:spacing w:val="-7"/>
        </w:rPr>
        <w:t> </w:t>
      </w:r>
      <w:r>
        <w:rPr>
          <w:color w:val="2C2C2C"/>
        </w:rPr>
        <w:t>of</w:t>
      </w:r>
      <w:r>
        <w:rPr>
          <w:color w:val="2C2C2C"/>
          <w:spacing w:val="-8"/>
        </w:rPr>
        <w:t> </w:t>
      </w:r>
      <w:r>
        <w:rPr>
          <w:color w:val="2C2C2C"/>
        </w:rPr>
        <w:t>your</w:t>
      </w:r>
      <w:r>
        <w:rPr>
          <w:color w:val="2C2C2C"/>
          <w:spacing w:val="-9"/>
        </w:rPr>
        <w:t> </w:t>
      </w:r>
      <w:r>
        <w:rPr>
          <w:color w:val="2C2C2C"/>
        </w:rPr>
        <w:t>personal</w:t>
      </w:r>
      <w:r>
        <w:rPr>
          <w:color w:val="2C2C2C"/>
          <w:spacing w:val="-8"/>
        </w:rPr>
        <w:t> </w:t>
      </w:r>
      <w:r>
        <w:rPr>
          <w:color w:val="2C2C2C"/>
        </w:rPr>
        <w:t>data</w:t>
      </w:r>
      <w:r>
        <w:rPr>
          <w:color w:val="2C2C2C"/>
          <w:spacing w:val="-10"/>
        </w:rPr>
        <w:t> </w:t>
      </w:r>
      <w:r>
        <w:rPr>
          <w:color w:val="2C2C2C"/>
        </w:rPr>
        <w:t>involves</w:t>
      </w:r>
      <w:r>
        <w:rPr>
          <w:color w:val="2C2C2C"/>
          <w:spacing w:val="-7"/>
        </w:rPr>
        <w:t> </w:t>
      </w:r>
      <w:r>
        <w:rPr>
          <w:color w:val="2C2C2C"/>
        </w:rPr>
        <w:t>a</w:t>
      </w:r>
      <w:r>
        <w:rPr>
          <w:color w:val="2C2C2C"/>
          <w:spacing w:val="-10"/>
        </w:rPr>
        <w:t> </w:t>
      </w:r>
      <w:r>
        <w:rPr>
          <w:color w:val="2C2C2C"/>
        </w:rPr>
        <w:t>cross-border</w:t>
      </w:r>
      <w:r>
        <w:rPr>
          <w:color w:val="2C2C2C"/>
          <w:spacing w:val="-9"/>
        </w:rPr>
        <w:t> </w:t>
      </w:r>
      <w:r>
        <w:rPr>
          <w:color w:val="2C2C2C"/>
        </w:rPr>
        <w:t>transfer</w:t>
      </w:r>
      <w:r>
        <w:rPr>
          <w:color w:val="2C2C2C"/>
          <w:spacing w:val="-9"/>
        </w:rPr>
        <w:t> </w:t>
      </w:r>
      <w:r>
        <w:rPr>
          <w:color w:val="2C2C2C"/>
        </w:rPr>
        <w:t>of</w:t>
      </w:r>
      <w:r>
        <w:rPr>
          <w:color w:val="2C2C2C"/>
          <w:spacing w:val="-8"/>
        </w:rPr>
        <w:t> </w:t>
      </w:r>
      <w:r>
        <w:rPr>
          <w:color w:val="2C2C2C"/>
        </w:rPr>
        <w:t>your</w:t>
      </w:r>
      <w:r>
        <w:rPr>
          <w:color w:val="2C2C2C"/>
          <w:spacing w:val="-6"/>
        </w:rPr>
        <w:t> </w:t>
      </w:r>
      <w:r>
        <w:rPr>
          <w:color w:val="2C2C2C"/>
        </w:rPr>
        <w:t>personal data</w:t>
      </w:r>
      <w:r>
        <w:rPr>
          <w:color w:val="2C2C2C"/>
          <w:spacing w:val="-7"/>
        </w:rPr>
        <w:t> </w:t>
      </w:r>
      <w:r>
        <w:rPr>
          <w:color w:val="2C2C2C"/>
        </w:rPr>
        <w:t>to</w:t>
      </w:r>
      <w:r>
        <w:rPr>
          <w:color w:val="2C2C2C"/>
          <w:spacing w:val="-6"/>
        </w:rPr>
        <w:t> </w:t>
      </w:r>
      <w:r>
        <w:rPr>
          <w:color w:val="2C2C2C"/>
        </w:rPr>
        <w:t>a</w:t>
      </w:r>
      <w:r>
        <w:rPr>
          <w:color w:val="2C2C2C"/>
          <w:spacing w:val="-9"/>
        </w:rPr>
        <w:t> </w:t>
      </w:r>
      <w:r>
        <w:rPr>
          <w:color w:val="2C2C2C"/>
        </w:rPr>
        <w:t>third</w:t>
      </w:r>
      <w:r>
        <w:rPr>
          <w:color w:val="2C2C2C"/>
          <w:spacing w:val="-9"/>
        </w:rPr>
        <w:t> </w:t>
      </w:r>
      <w:r>
        <w:rPr>
          <w:color w:val="2C2C2C"/>
        </w:rPr>
        <w:t>country</w:t>
      </w:r>
      <w:r>
        <w:rPr>
          <w:color w:val="2C2C2C"/>
          <w:spacing w:val="-6"/>
        </w:rPr>
        <w:t> </w:t>
      </w:r>
      <w:r>
        <w:rPr>
          <w:color w:val="2C2C2C"/>
        </w:rPr>
        <w:t>if</w:t>
      </w:r>
      <w:r>
        <w:rPr>
          <w:color w:val="2C2C2C"/>
          <w:spacing w:val="-7"/>
        </w:rPr>
        <w:t> </w:t>
      </w:r>
      <w:r>
        <w:rPr>
          <w:color w:val="2C2C2C"/>
        </w:rPr>
        <w:t>you</w:t>
      </w:r>
      <w:r>
        <w:rPr>
          <w:color w:val="2C2C2C"/>
          <w:spacing w:val="-7"/>
        </w:rPr>
        <w:t> </w:t>
      </w:r>
      <w:r>
        <w:rPr>
          <w:color w:val="2C2C2C"/>
        </w:rPr>
        <w:t>are</w:t>
      </w:r>
      <w:r>
        <w:rPr>
          <w:color w:val="2C2C2C"/>
          <w:spacing w:val="-6"/>
        </w:rPr>
        <w:t> </w:t>
      </w:r>
      <w:r>
        <w:rPr>
          <w:color w:val="2C2C2C"/>
        </w:rPr>
        <w:t>an</w:t>
      </w:r>
      <w:r>
        <w:rPr>
          <w:color w:val="2C2C2C"/>
          <w:spacing w:val="-9"/>
        </w:rPr>
        <w:t> </w:t>
      </w:r>
      <w:r>
        <w:rPr>
          <w:color w:val="2C2C2C"/>
        </w:rPr>
        <w:t>external</w:t>
      </w:r>
      <w:r>
        <w:rPr>
          <w:color w:val="2C2C2C"/>
          <w:spacing w:val="-7"/>
        </w:rPr>
        <w:t> </w:t>
      </w:r>
      <w:r>
        <w:rPr>
          <w:color w:val="2C2C2C"/>
        </w:rPr>
        <w:t>worker</w:t>
      </w:r>
      <w:r>
        <w:rPr>
          <w:color w:val="2C2C2C"/>
          <w:spacing w:val="-5"/>
        </w:rPr>
        <w:t> </w:t>
      </w:r>
      <w:r>
        <w:rPr>
          <w:color w:val="2C2C2C"/>
        </w:rPr>
        <w:t>of</w:t>
      </w:r>
      <w:r>
        <w:rPr>
          <w:color w:val="2C2C2C"/>
          <w:spacing w:val="-7"/>
        </w:rPr>
        <w:t> </w:t>
      </w:r>
      <w:r>
        <w:rPr>
          <w:color w:val="2C2C2C"/>
        </w:rPr>
        <w:t>another</w:t>
      </w:r>
      <w:r>
        <w:rPr>
          <w:color w:val="2C2C2C"/>
          <w:spacing w:val="-5"/>
        </w:rPr>
        <w:t> </w:t>
      </w:r>
      <w:r>
        <w:rPr>
          <w:color w:val="2C2C2C"/>
        </w:rPr>
        <w:t>employer</w:t>
      </w:r>
      <w:r>
        <w:rPr>
          <w:color w:val="2C2C2C"/>
          <w:spacing w:val="-8"/>
        </w:rPr>
        <w:t> </w:t>
      </w:r>
      <w:r>
        <w:rPr>
          <w:color w:val="2C2C2C"/>
        </w:rPr>
        <w:t>outside</w:t>
      </w:r>
      <w:r>
        <w:rPr>
          <w:color w:val="2C2C2C"/>
          <w:spacing w:val="-7"/>
        </w:rPr>
        <w:t> </w:t>
      </w:r>
      <w:r>
        <w:rPr>
          <w:color w:val="2C2C2C"/>
        </w:rPr>
        <w:t>the</w:t>
      </w:r>
      <w:r>
        <w:rPr>
          <w:color w:val="2C2C2C"/>
          <w:spacing w:val="-6"/>
        </w:rPr>
        <w:t> </w:t>
      </w:r>
      <w:r>
        <w:rPr>
          <w:color w:val="2C2C2C"/>
        </w:rPr>
        <w:t>European Union, based on:</w:t>
      </w:r>
    </w:p>
    <w:p>
      <w:pPr>
        <w:pStyle w:val="BodyText"/>
        <w:spacing w:after="0"/>
        <w:jc w:val="both"/>
        <w:sectPr>
          <w:pgSz w:w="11900" w:h="16850"/>
          <w:pgMar w:header="1438" w:footer="541" w:top="2000" w:bottom="740" w:left="1417" w:right="1275"/>
        </w:sectPr>
      </w:pPr>
    </w:p>
    <w:p>
      <w:pPr>
        <w:pStyle w:val="BodyText"/>
      </w:pPr>
    </w:p>
    <w:p>
      <w:pPr>
        <w:pStyle w:val="BodyText"/>
        <w:spacing w:before="252"/>
      </w:pPr>
    </w:p>
    <w:p>
      <w:pPr>
        <w:pStyle w:val="ListParagraph"/>
        <w:numPr>
          <w:ilvl w:val="0"/>
          <w:numId w:val="1"/>
        </w:numPr>
        <w:tabs>
          <w:tab w:pos="719" w:val="left" w:leader="none"/>
          <w:tab w:pos="721" w:val="left" w:leader="none"/>
        </w:tabs>
        <w:spacing w:line="237" w:lineRule="auto" w:before="0" w:after="0"/>
        <w:ind w:left="721" w:right="136" w:hanging="361"/>
        <w:jc w:val="both"/>
        <w:rPr>
          <w:sz w:val="22"/>
        </w:rPr>
      </w:pPr>
      <w:r>
        <w:rPr>
          <w:sz w:val="22"/>
        </w:rPr>
        <w:t>USA, Russian Federation, Ukraine, China, Albania, Armenia, Brazil, Belarus, Iran, Philippines, Turkey, Vietnam - exemption under Article 49 (1) (b) of the General Data Protection Regulation</w:t>
      </w:r>
    </w:p>
    <w:p>
      <w:pPr>
        <w:pStyle w:val="ListParagraph"/>
        <w:numPr>
          <w:ilvl w:val="0"/>
          <w:numId w:val="1"/>
        </w:numPr>
        <w:tabs>
          <w:tab w:pos="720" w:val="left" w:leader="none"/>
        </w:tabs>
        <w:spacing w:line="269" w:lineRule="exact" w:before="3" w:after="0"/>
        <w:ind w:left="720" w:right="0" w:hanging="359"/>
        <w:jc w:val="both"/>
        <w:rPr>
          <w:sz w:val="22"/>
        </w:rPr>
      </w:pPr>
      <w:r>
        <w:rPr>
          <w:sz w:val="22"/>
        </w:rPr>
        <w:t>Canada</w:t>
      </w:r>
      <w:r>
        <w:rPr>
          <w:spacing w:val="-5"/>
          <w:sz w:val="22"/>
        </w:rPr>
        <w:t> </w:t>
      </w:r>
      <w:r>
        <w:rPr>
          <w:sz w:val="22"/>
        </w:rPr>
        <w:t>-</w:t>
      </w:r>
      <w:r>
        <w:rPr>
          <w:spacing w:val="-4"/>
          <w:sz w:val="22"/>
        </w:rPr>
        <w:t> </w:t>
      </w:r>
      <w:r>
        <w:rPr>
          <w:sz w:val="22"/>
        </w:rPr>
        <w:t>Commission</w:t>
      </w:r>
      <w:r>
        <w:rPr>
          <w:spacing w:val="-7"/>
          <w:sz w:val="22"/>
        </w:rPr>
        <w:t> </w:t>
      </w:r>
      <w:r>
        <w:rPr>
          <w:sz w:val="22"/>
        </w:rPr>
        <w:t>Adequacy</w:t>
      </w:r>
      <w:r>
        <w:rPr>
          <w:spacing w:val="-5"/>
          <w:sz w:val="22"/>
        </w:rPr>
        <w:t> </w:t>
      </w:r>
      <w:r>
        <w:rPr>
          <w:sz w:val="22"/>
        </w:rPr>
        <w:t>Decision</w:t>
      </w:r>
      <w:r>
        <w:rPr>
          <w:spacing w:val="-5"/>
          <w:sz w:val="22"/>
        </w:rPr>
        <w:t> </w:t>
      </w:r>
      <w:r>
        <w:rPr>
          <w:sz w:val="22"/>
        </w:rPr>
        <w:t>No.</w:t>
      </w:r>
      <w:r>
        <w:rPr>
          <w:spacing w:val="-6"/>
          <w:sz w:val="22"/>
        </w:rPr>
        <w:t> </w:t>
      </w:r>
      <w:r>
        <w:rPr>
          <w:spacing w:val="-2"/>
          <w:sz w:val="22"/>
        </w:rPr>
        <w:t>2002/2/EC</w:t>
      </w:r>
    </w:p>
    <w:p>
      <w:pPr>
        <w:pStyle w:val="ListParagraph"/>
        <w:numPr>
          <w:ilvl w:val="0"/>
          <w:numId w:val="1"/>
        </w:numPr>
        <w:tabs>
          <w:tab w:pos="720" w:val="left" w:leader="none"/>
          <w:tab w:pos="722" w:val="left" w:leader="none"/>
        </w:tabs>
        <w:spacing w:line="237" w:lineRule="auto" w:before="1" w:after="0"/>
        <w:ind w:left="722" w:right="133" w:hanging="361"/>
        <w:jc w:val="both"/>
        <w:rPr>
          <w:sz w:val="22"/>
        </w:rPr>
      </w:pPr>
      <w:r>
        <w:rPr>
          <w:sz w:val="22"/>
        </w:rPr>
        <w:t>United Kingdom of Great Britain and Northern Ireland - Commission Adequacy Decision No. 2025/2574, Commission Adequacy Decision No. 2025/1226 (Commission Adequacy Decision No. 2021/1772)</w:t>
      </w:r>
    </w:p>
    <w:p>
      <w:pPr>
        <w:pStyle w:val="ListParagraph"/>
        <w:numPr>
          <w:ilvl w:val="0"/>
          <w:numId w:val="1"/>
        </w:numPr>
        <w:tabs>
          <w:tab w:pos="722" w:val="left" w:leader="none"/>
        </w:tabs>
        <w:spacing w:line="269" w:lineRule="exact" w:before="3" w:after="0"/>
        <w:ind w:left="722" w:right="0" w:hanging="360"/>
        <w:jc w:val="left"/>
        <w:rPr>
          <w:sz w:val="22"/>
        </w:rPr>
      </w:pPr>
      <w:r>
        <w:rPr>
          <w:sz w:val="22"/>
        </w:rPr>
        <w:t>Switzerland</w:t>
      </w:r>
      <w:r>
        <w:rPr>
          <w:spacing w:val="-8"/>
          <w:sz w:val="22"/>
        </w:rPr>
        <w:t> </w:t>
      </w:r>
      <w:r>
        <w:rPr>
          <w:sz w:val="22"/>
        </w:rPr>
        <w:t>-</w:t>
      </w:r>
      <w:r>
        <w:rPr>
          <w:spacing w:val="-7"/>
          <w:sz w:val="22"/>
        </w:rPr>
        <w:t> </w:t>
      </w:r>
      <w:r>
        <w:rPr>
          <w:sz w:val="22"/>
        </w:rPr>
        <w:t>Commission</w:t>
      </w:r>
      <w:r>
        <w:rPr>
          <w:spacing w:val="-6"/>
          <w:sz w:val="22"/>
        </w:rPr>
        <w:t> </w:t>
      </w:r>
      <w:r>
        <w:rPr>
          <w:sz w:val="22"/>
        </w:rPr>
        <w:t>Adequacy</w:t>
      </w:r>
      <w:r>
        <w:rPr>
          <w:spacing w:val="-6"/>
          <w:sz w:val="22"/>
        </w:rPr>
        <w:t> </w:t>
      </w:r>
      <w:r>
        <w:rPr>
          <w:sz w:val="22"/>
        </w:rPr>
        <w:t>Decision</w:t>
      </w:r>
      <w:r>
        <w:rPr>
          <w:spacing w:val="-6"/>
          <w:sz w:val="22"/>
        </w:rPr>
        <w:t> </w:t>
      </w:r>
      <w:r>
        <w:rPr>
          <w:sz w:val="22"/>
        </w:rPr>
        <w:t>No.</w:t>
      </w:r>
      <w:r>
        <w:rPr>
          <w:spacing w:val="-4"/>
          <w:sz w:val="22"/>
        </w:rPr>
        <w:t> </w:t>
      </w:r>
      <w:r>
        <w:rPr>
          <w:spacing w:val="-2"/>
          <w:sz w:val="22"/>
        </w:rPr>
        <w:t>2000/518/EC</w:t>
      </w:r>
    </w:p>
    <w:p>
      <w:pPr>
        <w:pStyle w:val="ListParagraph"/>
        <w:numPr>
          <w:ilvl w:val="0"/>
          <w:numId w:val="1"/>
        </w:numPr>
        <w:tabs>
          <w:tab w:pos="722" w:val="left" w:leader="none"/>
        </w:tabs>
        <w:spacing w:line="268" w:lineRule="exact" w:before="0" w:after="0"/>
        <w:ind w:left="722" w:right="0" w:hanging="360"/>
        <w:jc w:val="left"/>
        <w:rPr>
          <w:sz w:val="22"/>
        </w:rPr>
      </w:pPr>
      <w:r>
        <w:rPr>
          <w:sz w:val="22"/>
        </w:rPr>
        <w:t>Japan</w:t>
      </w:r>
      <w:r>
        <w:rPr>
          <w:spacing w:val="-5"/>
          <w:sz w:val="22"/>
        </w:rPr>
        <w:t> </w:t>
      </w:r>
      <w:r>
        <w:rPr>
          <w:sz w:val="22"/>
        </w:rPr>
        <w:t>-</w:t>
      </w:r>
      <w:r>
        <w:rPr>
          <w:spacing w:val="-6"/>
          <w:sz w:val="22"/>
        </w:rPr>
        <w:t> </w:t>
      </w:r>
      <w:hyperlink r:id="rId7">
        <w:r>
          <w:rPr>
            <w:sz w:val="22"/>
          </w:rPr>
          <w:t>Commission</w:t>
        </w:r>
        <w:r>
          <w:rPr>
            <w:spacing w:val="-5"/>
            <w:sz w:val="22"/>
          </w:rPr>
          <w:t> </w:t>
        </w:r>
        <w:r>
          <w:rPr>
            <w:sz w:val="22"/>
          </w:rPr>
          <w:t>Adequacy</w:t>
        </w:r>
        <w:r>
          <w:rPr>
            <w:spacing w:val="-5"/>
            <w:sz w:val="22"/>
          </w:rPr>
          <w:t> </w:t>
        </w:r>
        <w:r>
          <w:rPr>
            <w:sz w:val="22"/>
          </w:rPr>
          <w:t>Decision</w:t>
        </w:r>
        <w:r>
          <w:rPr>
            <w:spacing w:val="-5"/>
            <w:sz w:val="22"/>
          </w:rPr>
          <w:t> </w:t>
        </w:r>
        <w:r>
          <w:rPr>
            <w:sz w:val="22"/>
          </w:rPr>
          <w:t>No.</w:t>
        </w:r>
        <w:r>
          <w:rPr>
            <w:spacing w:val="-5"/>
            <w:sz w:val="22"/>
          </w:rPr>
          <w:t> </w:t>
        </w:r>
        <w:r>
          <w:rPr>
            <w:spacing w:val="-2"/>
            <w:sz w:val="22"/>
          </w:rPr>
          <w:t>2019/419</w:t>
        </w:r>
      </w:hyperlink>
    </w:p>
    <w:p>
      <w:pPr>
        <w:pStyle w:val="ListParagraph"/>
        <w:numPr>
          <w:ilvl w:val="0"/>
          <w:numId w:val="1"/>
        </w:numPr>
        <w:tabs>
          <w:tab w:pos="722" w:val="left" w:leader="none"/>
        </w:tabs>
        <w:spacing w:line="268" w:lineRule="exact" w:before="0" w:after="0"/>
        <w:ind w:left="722" w:right="0" w:hanging="360"/>
        <w:jc w:val="left"/>
        <w:rPr>
          <w:sz w:val="22"/>
        </w:rPr>
      </w:pPr>
      <w:r>
        <w:rPr>
          <w:sz w:val="22"/>
        </w:rPr>
        <w:t>Argentina</w:t>
      </w:r>
      <w:r>
        <w:rPr>
          <w:spacing w:val="-10"/>
          <w:sz w:val="22"/>
        </w:rPr>
        <w:t> </w:t>
      </w:r>
      <w:r>
        <w:rPr>
          <w:sz w:val="22"/>
        </w:rPr>
        <w:t>-</w:t>
      </w:r>
      <w:r>
        <w:rPr>
          <w:spacing w:val="-4"/>
          <w:sz w:val="22"/>
        </w:rPr>
        <w:t> </w:t>
      </w:r>
      <w:hyperlink r:id="rId8">
        <w:r>
          <w:rPr>
            <w:sz w:val="22"/>
          </w:rPr>
          <w:t>Commission</w:t>
        </w:r>
        <w:r>
          <w:rPr>
            <w:spacing w:val="-7"/>
            <w:sz w:val="22"/>
          </w:rPr>
          <w:t> </w:t>
        </w:r>
        <w:r>
          <w:rPr>
            <w:sz w:val="22"/>
          </w:rPr>
          <w:t>Adequacy</w:t>
        </w:r>
        <w:r>
          <w:rPr>
            <w:spacing w:val="-5"/>
            <w:sz w:val="22"/>
          </w:rPr>
          <w:t> </w:t>
        </w:r>
        <w:r>
          <w:rPr>
            <w:sz w:val="22"/>
          </w:rPr>
          <w:t>Decision</w:t>
        </w:r>
        <w:r>
          <w:rPr>
            <w:spacing w:val="-5"/>
            <w:sz w:val="22"/>
          </w:rPr>
          <w:t> </w:t>
        </w:r>
        <w:r>
          <w:rPr>
            <w:sz w:val="22"/>
          </w:rPr>
          <w:t>No.</w:t>
        </w:r>
        <w:r>
          <w:rPr>
            <w:spacing w:val="-8"/>
            <w:sz w:val="22"/>
          </w:rPr>
          <w:t> </w:t>
        </w:r>
        <w:r>
          <w:rPr>
            <w:spacing w:val="-2"/>
            <w:sz w:val="22"/>
          </w:rPr>
          <w:t>2003/490/EC</w:t>
        </w:r>
      </w:hyperlink>
    </w:p>
    <w:p>
      <w:pPr>
        <w:pStyle w:val="BodyText"/>
        <w:spacing w:before="25"/>
      </w:pPr>
    </w:p>
    <w:p>
      <w:pPr>
        <w:pStyle w:val="Heading1"/>
        <w:ind w:left="711"/>
      </w:pPr>
      <w:r>
        <w:rPr>
          <w:color w:val="253A96"/>
        </w:rPr>
        <w:t>How</w:t>
      </w:r>
      <w:r>
        <w:rPr>
          <w:color w:val="253A96"/>
          <w:spacing w:val="-7"/>
        </w:rPr>
        <w:t> </w:t>
      </w:r>
      <w:r>
        <w:rPr>
          <w:color w:val="253A96"/>
        </w:rPr>
        <w:t>long</w:t>
      </w:r>
      <w:r>
        <w:rPr>
          <w:color w:val="253A96"/>
          <w:spacing w:val="-3"/>
        </w:rPr>
        <w:t> </w:t>
      </w:r>
      <w:r>
        <w:rPr>
          <w:color w:val="253A96"/>
        </w:rPr>
        <w:t>do</w:t>
      </w:r>
      <w:r>
        <w:rPr>
          <w:color w:val="253A96"/>
          <w:spacing w:val="-6"/>
        </w:rPr>
        <w:t> </w:t>
      </w:r>
      <w:r>
        <w:rPr>
          <w:color w:val="253A96"/>
        </w:rPr>
        <w:t>we</w:t>
      </w:r>
      <w:r>
        <w:rPr>
          <w:color w:val="253A96"/>
          <w:spacing w:val="-5"/>
        </w:rPr>
        <w:t> </w:t>
      </w:r>
      <w:r>
        <w:rPr>
          <w:color w:val="253A96"/>
        </w:rPr>
        <w:t>process</w:t>
      </w:r>
      <w:r>
        <w:rPr>
          <w:color w:val="253A96"/>
          <w:spacing w:val="-3"/>
        </w:rPr>
        <w:t> </w:t>
      </w:r>
      <w:r>
        <w:rPr>
          <w:color w:val="253A96"/>
        </w:rPr>
        <w:t>personal</w:t>
      </w:r>
      <w:r>
        <w:rPr>
          <w:color w:val="253A96"/>
          <w:spacing w:val="-5"/>
        </w:rPr>
        <w:t> </w:t>
      </w:r>
      <w:r>
        <w:rPr>
          <w:color w:val="253A96"/>
        </w:rPr>
        <w:t>data</w:t>
      </w:r>
      <w:r>
        <w:rPr>
          <w:color w:val="253A96"/>
          <w:spacing w:val="-5"/>
        </w:rPr>
        <w:t> </w:t>
      </w:r>
      <w:r>
        <w:rPr>
          <w:color w:val="253A96"/>
        </w:rPr>
        <w:t>(so-called</w:t>
      </w:r>
      <w:r>
        <w:rPr>
          <w:color w:val="253A96"/>
          <w:spacing w:val="-5"/>
        </w:rPr>
        <w:t> </w:t>
      </w:r>
      <w:r>
        <w:rPr>
          <w:color w:val="253A96"/>
        </w:rPr>
        <w:t>storage</w:t>
      </w:r>
      <w:r>
        <w:rPr>
          <w:color w:val="253A96"/>
          <w:spacing w:val="-5"/>
        </w:rPr>
        <w:t> </w:t>
      </w:r>
      <w:r>
        <w:rPr>
          <w:color w:val="253A96"/>
          <w:spacing w:val="-2"/>
        </w:rPr>
        <w:t>period)?</w:t>
      </w:r>
    </w:p>
    <w:p>
      <w:pPr>
        <w:pStyle w:val="BodyText"/>
        <w:spacing w:before="27"/>
        <w:rPr>
          <w:b/>
        </w:rPr>
      </w:pPr>
    </w:p>
    <w:p>
      <w:pPr>
        <w:pStyle w:val="BodyText"/>
        <w:ind w:left="711"/>
      </w:pPr>
      <w:r>
        <w:rPr/>
        <w:t>Your</w:t>
      </w:r>
      <w:r>
        <w:rPr>
          <w:spacing w:val="-2"/>
        </w:rPr>
        <w:t> </w:t>
      </w:r>
      <w:r>
        <w:rPr/>
        <w:t>personal</w:t>
      </w:r>
      <w:r>
        <w:rPr>
          <w:spacing w:val="-4"/>
        </w:rPr>
        <w:t> </w:t>
      </w:r>
      <w:r>
        <w:rPr/>
        <w:t>data</w:t>
      </w:r>
      <w:r>
        <w:rPr>
          <w:spacing w:val="-5"/>
        </w:rPr>
        <w:t> </w:t>
      </w:r>
      <w:r>
        <w:rPr/>
        <w:t>are</w:t>
      </w:r>
      <w:r>
        <w:rPr>
          <w:spacing w:val="-6"/>
        </w:rPr>
        <w:t> </w:t>
      </w:r>
      <w:r>
        <w:rPr/>
        <w:t>processed</w:t>
      </w:r>
      <w:r>
        <w:rPr>
          <w:spacing w:val="-5"/>
        </w:rPr>
        <w:t> </w:t>
      </w:r>
      <w:r>
        <w:rPr/>
        <w:t>for</w:t>
      </w:r>
      <w:r>
        <w:rPr>
          <w:spacing w:val="-2"/>
        </w:rPr>
        <w:t> </w:t>
      </w:r>
      <w:r>
        <w:rPr/>
        <w:t>periods</w:t>
      </w:r>
      <w:r>
        <w:rPr>
          <w:spacing w:val="-3"/>
        </w:rPr>
        <w:t> </w:t>
      </w:r>
      <w:r>
        <w:rPr/>
        <w:t>as</w:t>
      </w:r>
      <w:r>
        <w:rPr>
          <w:spacing w:val="-5"/>
        </w:rPr>
        <w:t> </w:t>
      </w:r>
      <w:r>
        <w:rPr>
          <w:spacing w:val="-2"/>
        </w:rPr>
        <w:t>follows:</w:t>
      </w:r>
    </w:p>
    <w:p>
      <w:pPr>
        <w:pStyle w:val="BodyText"/>
        <w:spacing w:before="29"/>
      </w:pPr>
    </w:p>
    <w:p>
      <w:pPr>
        <w:pStyle w:val="ListParagraph"/>
        <w:numPr>
          <w:ilvl w:val="0"/>
          <w:numId w:val="1"/>
        </w:numPr>
        <w:tabs>
          <w:tab w:pos="721" w:val="left" w:leader="none"/>
          <w:tab w:pos="723" w:val="left" w:leader="none"/>
        </w:tabs>
        <w:spacing w:line="259" w:lineRule="auto" w:before="0" w:after="0"/>
        <w:ind w:left="723" w:right="136" w:hanging="361"/>
        <w:jc w:val="both"/>
        <w:rPr>
          <w:sz w:val="22"/>
        </w:rPr>
      </w:pPr>
      <w:r>
        <w:rPr>
          <w:sz w:val="22"/>
        </w:rPr>
        <w:t>Records of the worker's</w:t>
      </w:r>
      <w:r>
        <w:rPr>
          <w:spacing w:val="-1"/>
          <w:sz w:val="22"/>
        </w:rPr>
        <w:t> </w:t>
      </w:r>
      <w:r>
        <w:rPr>
          <w:sz w:val="22"/>
        </w:rPr>
        <w:t>personal doses in the</w:t>
      </w:r>
      <w:r>
        <w:rPr>
          <w:spacing w:val="-1"/>
          <w:sz w:val="22"/>
        </w:rPr>
        <w:t> </w:t>
      </w:r>
      <w:r>
        <w:rPr>
          <w:sz w:val="22"/>
        </w:rPr>
        <w:t>records keeping for the entire period of the</w:t>
      </w:r>
      <w:r>
        <w:rPr>
          <w:spacing w:val="-10"/>
          <w:sz w:val="22"/>
        </w:rPr>
        <w:t> </w:t>
      </w:r>
      <w:r>
        <w:rPr>
          <w:sz w:val="22"/>
        </w:rPr>
        <w:t>worker's</w:t>
      </w:r>
      <w:r>
        <w:rPr>
          <w:spacing w:val="-12"/>
          <w:sz w:val="22"/>
        </w:rPr>
        <w:t> </w:t>
      </w:r>
      <w:r>
        <w:rPr>
          <w:sz w:val="22"/>
        </w:rPr>
        <w:t>employment</w:t>
      </w:r>
      <w:r>
        <w:rPr>
          <w:spacing w:val="-11"/>
          <w:sz w:val="22"/>
        </w:rPr>
        <w:t> </w:t>
      </w:r>
      <w:r>
        <w:rPr>
          <w:sz w:val="22"/>
        </w:rPr>
        <w:t>during</w:t>
      </w:r>
      <w:r>
        <w:rPr>
          <w:spacing w:val="-12"/>
          <w:sz w:val="22"/>
        </w:rPr>
        <w:t> </w:t>
      </w:r>
      <w:r>
        <w:rPr>
          <w:sz w:val="22"/>
        </w:rPr>
        <w:t>which</w:t>
      </w:r>
      <w:r>
        <w:rPr>
          <w:spacing w:val="-10"/>
          <w:sz w:val="22"/>
        </w:rPr>
        <w:t> </w:t>
      </w:r>
      <w:r>
        <w:rPr>
          <w:sz w:val="22"/>
        </w:rPr>
        <w:t>he</w:t>
      </w:r>
      <w:r>
        <w:rPr>
          <w:spacing w:val="-12"/>
          <w:sz w:val="22"/>
        </w:rPr>
        <w:t> </w:t>
      </w:r>
      <w:r>
        <w:rPr>
          <w:sz w:val="22"/>
        </w:rPr>
        <w:t>or</w:t>
      </w:r>
      <w:r>
        <w:rPr>
          <w:spacing w:val="-11"/>
          <w:sz w:val="22"/>
        </w:rPr>
        <w:t> </w:t>
      </w:r>
      <w:r>
        <w:rPr>
          <w:sz w:val="22"/>
        </w:rPr>
        <w:t>she</w:t>
      </w:r>
      <w:r>
        <w:rPr>
          <w:spacing w:val="-12"/>
          <w:sz w:val="22"/>
        </w:rPr>
        <w:t> </w:t>
      </w:r>
      <w:r>
        <w:rPr>
          <w:sz w:val="22"/>
        </w:rPr>
        <w:t>was</w:t>
      </w:r>
      <w:r>
        <w:rPr>
          <w:spacing w:val="-9"/>
          <w:sz w:val="22"/>
        </w:rPr>
        <w:t> </w:t>
      </w:r>
      <w:r>
        <w:rPr>
          <w:sz w:val="22"/>
        </w:rPr>
        <w:t>exposed</w:t>
      </w:r>
      <w:r>
        <w:rPr>
          <w:spacing w:val="-14"/>
          <w:sz w:val="22"/>
        </w:rPr>
        <w:t> </w:t>
      </w:r>
      <w:r>
        <w:rPr>
          <w:sz w:val="22"/>
        </w:rPr>
        <w:t>to</w:t>
      </w:r>
      <w:r>
        <w:rPr>
          <w:spacing w:val="-10"/>
          <w:sz w:val="22"/>
        </w:rPr>
        <w:t> </w:t>
      </w:r>
      <w:r>
        <w:rPr>
          <w:sz w:val="22"/>
        </w:rPr>
        <w:t>ionising</w:t>
      </w:r>
      <w:r>
        <w:rPr>
          <w:spacing w:val="-12"/>
          <w:sz w:val="22"/>
        </w:rPr>
        <w:t> </w:t>
      </w:r>
      <w:r>
        <w:rPr>
          <w:sz w:val="22"/>
        </w:rPr>
        <w:t>radiation</w:t>
      </w:r>
      <w:r>
        <w:rPr>
          <w:spacing w:val="-10"/>
          <w:sz w:val="22"/>
        </w:rPr>
        <w:t> </w:t>
      </w:r>
      <w:r>
        <w:rPr>
          <w:sz w:val="22"/>
        </w:rPr>
        <w:t>and thereafter, until the worker reaches or would have reached the age of 75 years, for at least</w:t>
      </w:r>
      <w:r>
        <w:rPr>
          <w:spacing w:val="-3"/>
          <w:sz w:val="22"/>
        </w:rPr>
        <w:t> </w:t>
      </w:r>
      <w:r>
        <w:rPr>
          <w:sz w:val="22"/>
        </w:rPr>
        <w:t>30</w:t>
      </w:r>
      <w:r>
        <w:rPr>
          <w:spacing w:val="-9"/>
          <w:sz w:val="22"/>
        </w:rPr>
        <w:t> </w:t>
      </w:r>
      <w:r>
        <w:rPr>
          <w:sz w:val="22"/>
        </w:rPr>
        <w:t>years</w:t>
      </w:r>
      <w:r>
        <w:rPr>
          <w:spacing w:val="-6"/>
          <w:sz w:val="22"/>
        </w:rPr>
        <w:t> </w:t>
      </w:r>
      <w:r>
        <w:rPr>
          <w:sz w:val="22"/>
        </w:rPr>
        <w:t>after</w:t>
      </w:r>
      <w:r>
        <w:rPr>
          <w:spacing w:val="-5"/>
          <w:sz w:val="22"/>
        </w:rPr>
        <w:t> </w:t>
      </w:r>
      <w:r>
        <w:rPr>
          <w:sz w:val="22"/>
        </w:rPr>
        <w:t>the</w:t>
      </w:r>
      <w:r>
        <w:rPr>
          <w:spacing w:val="-9"/>
          <w:sz w:val="22"/>
        </w:rPr>
        <w:t> </w:t>
      </w:r>
      <w:r>
        <w:rPr>
          <w:sz w:val="22"/>
        </w:rPr>
        <w:t>end</w:t>
      </w:r>
      <w:r>
        <w:rPr>
          <w:spacing w:val="-4"/>
          <w:sz w:val="22"/>
        </w:rPr>
        <w:t> </w:t>
      </w:r>
      <w:r>
        <w:rPr>
          <w:sz w:val="22"/>
        </w:rPr>
        <w:t>of</w:t>
      </w:r>
      <w:r>
        <w:rPr>
          <w:spacing w:val="-5"/>
          <w:sz w:val="22"/>
        </w:rPr>
        <w:t> </w:t>
      </w:r>
      <w:r>
        <w:rPr>
          <w:sz w:val="22"/>
        </w:rPr>
        <w:t>the</w:t>
      </w:r>
      <w:r>
        <w:rPr>
          <w:spacing w:val="-6"/>
          <w:sz w:val="22"/>
        </w:rPr>
        <w:t> </w:t>
      </w:r>
      <w:r>
        <w:rPr>
          <w:sz w:val="22"/>
        </w:rPr>
        <w:t>employment</w:t>
      </w:r>
      <w:r>
        <w:rPr>
          <w:spacing w:val="-5"/>
          <w:sz w:val="22"/>
        </w:rPr>
        <w:t> </w:t>
      </w:r>
      <w:r>
        <w:rPr>
          <w:sz w:val="22"/>
        </w:rPr>
        <w:t>during</w:t>
      </w:r>
      <w:r>
        <w:rPr>
          <w:spacing w:val="-4"/>
          <w:sz w:val="22"/>
        </w:rPr>
        <w:t> </w:t>
      </w:r>
      <w:r>
        <w:rPr>
          <w:sz w:val="22"/>
        </w:rPr>
        <w:t>which</w:t>
      </w:r>
      <w:r>
        <w:rPr>
          <w:spacing w:val="-6"/>
          <w:sz w:val="22"/>
        </w:rPr>
        <w:t> </w:t>
      </w:r>
      <w:r>
        <w:rPr>
          <w:sz w:val="22"/>
        </w:rPr>
        <w:t>he</w:t>
      </w:r>
      <w:r>
        <w:rPr>
          <w:spacing w:val="-6"/>
          <w:sz w:val="22"/>
        </w:rPr>
        <w:t> </w:t>
      </w:r>
      <w:r>
        <w:rPr>
          <w:sz w:val="22"/>
        </w:rPr>
        <w:t>or</w:t>
      </w:r>
      <w:r>
        <w:rPr>
          <w:spacing w:val="-8"/>
          <w:sz w:val="22"/>
        </w:rPr>
        <w:t> </w:t>
      </w:r>
      <w:r>
        <w:rPr>
          <w:sz w:val="22"/>
        </w:rPr>
        <w:t>she</w:t>
      </w:r>
      <w:r>
        <w:rPr>
          <w:spacing w:val="-6"/>
          <w:sz w:val="22"/>
        </w:rPr>
        <w:t> </w:t>
      </w:r>
      <w:r>
        <w:rPr>
          <w:sz w:val="22"/>
        </w:rPr>
        <w:t>was</w:t>
      </w:r>
      <w:r>
        <w:rPr>
          <w:spacing w:val="-6"/>
          <w:sz w:val="22"/>
        </w:rPr>
        <w:t> </w:t>
      </w:r>
      <w:r>
        <w:rPr>
          <w:sz w:val="22"/>
        </w:rPr>
        <w:t>exposed</w:t>
      </w:r>
      <w:r>
        <w:rPr>
          <w:spacing w:val="-9"/>
          <w:sz w:val="22"/>
        </w:rPr>
        <w:t> </w:t>
      </w:r>
      <w:r>
        <w:rPr>
          <w:sz w:val="22"/>
        </w:rPr>
        <w:t>to ionising radiation.</w:t>
      </w:r>
    </w:p>
    <w:p>
      <w:pPr>
        <w:pStyle w:val="ListParagraph"/>
        <w:numPr>
          <w:ilvl w:val="0"/>
          <w:numId w:val="1"/>
        </w:numPr>
        <w:tabs>
          <w:tab w:pos="721" w:val="left" w:leader="none"/>
          <w:tab w:pos="723" w:val="left" w:leader="none"/>
        </w:tabs>
        <w:spacing w:line="256" w:lineRule="auto" w:before="0" w:after="0"/>
        <w:ind w:left="723" w:right="138" w:hanging="361"/>
        <w:jc w:val="both"/>
        <w:rPr>
          <w:sz w:val="22"/>
        </w:rPr>
      </w:pPr>
      <w:r>
        <w:rPr>
          <w:sz w:val="22"/>
        </w:rPr>
        <w:t>Records</w:t>
      </w:r>
      <w:r>
        <w:rPr>
          <w:spacing w:val="-9"/>
          <w:sz w:val="22"/>
        </w:rPr>
        <w:t> </w:t>
      </w:r>
      <w:r>
        <w:rPr>
          <w:sz w:val="22"/>
        </w:rPr>
        <w:t>of</w:t>
      </w:r>
      <w:r>
        <w:rPr>
          <w:spacing w:val="-8"/>
          <w:sz w:val="22"/>
        </w:rPr>
        <w:t> </w:t>
      </w:r>
      <w:r>
        <w:rPr>
          <w:sz w:val="22"/>
        </w:rPr>
        <w:t>personal</w:t>
      </w:r>
      <w:r>
        <w:rPr>
          <w:spacing w:val="-8"/>
          <w:sz w:val="22"/>
        </w:rPr>
        <w:t> </w:t>
      </w:r>
      <w:r>
        <w:rPr>
          <w:sz w:val="22"/>
        </w:rPr>
        <w:t>doses</w:t>
      </w:r>
      <w:r>
        <w:rPr>
          <w:spacing w:val="-7"/>
          <w:sz w:val="22"/>
        </w:rPr>
        <w:t> </w:t>
      </w:r>
      <w:r>
        <w:rPr>
          <w:sz w:val="22"/>
        </w:rPr>
        <w:t>of</w:t>
      </w:r>
      <w:r>
        <w:rPr>
          <w:spacing w:val="-8"/>
          <w:sz w:val="22"/>
        </w:rPr>
        <w:t> </w:t>
      </w:r>
      <w:r>
        <w:rPr>
          <w:sz w:val="22"/>
        </w:rPr>
        <w:t>external</w:t>
      </w:r>
      <w:r>
        <w:rPr>
          <w:spacing w:val="-10"/>
          <w:sz w:val="22"/>
        </w:rPr>
        <w:t> </w:t>
      </w:r>
      <w:r>
        <w:rPr>
          <w:sz w:val="22"/>
        </w:rPr>
        <w:t>workers</w:t>
      </w:r>
      <w:r>
        <w:rPr>
          <w:spacing w:val="-9"/>
          <w:sz w:val="22"/>
        </w:rPr>
        <w:t> </w:t>
      </w:r>
      <w:r>
        <w:rPr>
          <w:sz w:val="22"/>
        </w:rPr>
        <w:t>for</w:t>
      </w:r>
      <w:r>
        <w:rPr>
          <w:spacing w:val="-9"/>
          <w:sz w:val="22"/>
        </w:rPr>
        <w:t> </w:t>
      </w:r>
      <w:r>
        <w:rPr>
          <w:sz w:val="22"/>
        </w:rPr>
        <w:t>at</w:t>
      </w:r>
      <w:r>
        <w:rPr>
          <w:spacing w:val="-6"/>
          <w:sz w:val="22"/>
        </w:rPr>
        <w:t> </w:t>
      </w:r>
      <w:r>
        <w:rPr>
          <w:sz w:val="22"/>
        </w:rPr>
        <w:t>least</w:t>
      </w:r>
      <w:r>
        <w:rPr>
          <w:spacing w:val="-8"/>
          <w:sz w:val="22"/>
        </w:rPr>
        <w:t> </w:t>
      </w:r>
      <w:r>
        <w:rPr>
          <w:sz w:val="22"/>
        </w:rPr>
        <w:t>10</w:t>
      </w:r>
      <w:r>
        <w:rPr>
          <w:spacing w:val="-10"/>
          <w:sz w:val="22"/>
        </w:rPr>
        <w:t> </w:t>
      </w:r>
      <w:r>
        <w:rPr>
          <w:sz w:val="22"/>
        </w:rPr>
        <w:t>years</w:t>
      </w:r>
      <w:r>
        <w:rPr>
          <w:spacing w:val="-9"/>
          <w:sz w:val="22"/>
        </w:rPr>
        <w:t> </w:t>
      </w:r>
      <w:r>
        <w:rPr>
          <w:sz w:val="22"/>
        </w:rPr>
        <w:t>after</w:t>
      </w:r>
      <w:r>
        <w:rPr>
          <w:spacing w:val="-11"/>
          <w:sz w:val="22"/>
        </w:rPr>
        <w:t> </w:t>
      </w:r>
      <w:r>
        <w:rPr>
          <w:sz w:val="22"/>
        </w:rPr>
        <w:t>the</w:t>
      </w:r>
      <w:r>
        <w:rPr>
          <w:spacing w:val="-7"/>
          <w:sz w:val="22"/>
        </w:rPr>
        <w:t> </w:t>
      </w:r>
      <w:r>
        <w:rPr>
          <w:sz w:val="22"/>
        </w:rPr>
        <w:t>end</w:t>
      </w:r>
      <w:r>
        <w:rPr>
          <w:spacing w:val="-10"/>
          <w:sz w:val="22"/>
        </w:rPr>
        <w:t> </w:t>
      </w:r>
      <w:r>
        <w:rPr>
          <w:sz w:val="22"/>
        </w:rPr>
        <w:t>of</w:t>
      </w:r>
      <w:r>
        <w:rPr>
          <w:spacing w:val="-8"/>
          <w:sz w:val="22"/>
        </w:rPr>
        <w:t> </w:t>
      </w:r>
      <w:r>
        <w:rPr>
          <w:sz w:val="22"/>
        </w:rPr>
        <w:t>the calendar year to which these data relate.</w:t>
      </w:r>
    </w:p>
    <w:p>
      <w:pPr>
        <w:pStyle w:val="ListParagraph"/>
        <w:numPr>
          <w:ilvl w:val="0"/>
          <w:numId w:val="1"/>
        </w:numPr>
        <w:tabs>
          <w:tab w:pos="721" w:val="left" w:leader="none"/>
          <w:tab w:pos="723" w:val="left" w:leader="none"/>
        </w:tabs>
        <w:spacing w:line="259" w:lineRule="auto" w:before="0" w:after="0"/>
        <w:ind w:left="723" w:right="136" w:hanging="361"/>
        <w:jc w:val="both"/>
        <w:rPr>
          <w:sz w:val="22"/>
        </w:rPr>
      </w:pPr>
      <w:r>
        <w:rPr>
          <w:sz w:val="22"/>
        </w:rPr>
        <w:t>The dosimetry service shall keep records of the personal doses of Category A or Category</w:t>
      </w:r>
      <w:r>
        <w:rPr>
          <w:spacing w:val="-1"/>
          <w:sz w:val="22"/>
        </w:rPr>
        <w:t> </w:t>
      </w:r>
      <w:r>
        <w:rPr>
          <w:sz w:val="22"/>
        </w:rPr>
        <w:t>B</w:t>
      </w:r>
      <w:r>
        <w:rPr>
          <w:spacing w:val="-4"/>
          <w:sz w:val="22"/>
        </w:rPr>
        <w:t> </w:t>
      </w:r>
      <w:r>
        <w:rPr>
          <w:sz w:val="22"/>
        </w:rPr>
        <w:t>monitored</w:t>
      </w:r>
      <w:r>
        <w:rPr>
          <w:spacing w:val="-2"/>
          <w:sz w:val="22"/>
        </w:rPr>
        <w:t> </w:t>
      </w:r>
      <w:r>
        <w:rPr>
          <w:sz w:val="22"/>
        </w:rPr>
        <w:t>workers</w:t>
      </w:r>
      <w:r>
        <w:rPr>
          <w:spacing w:val="-4"/>
          <w:sz w:val="22"/>
        </w:rPr>
        <w:t> </w:t>
      </w:r>
      <w:r>
        <w:rPr>
          <w:sz w:val="22"/>
        </w:rPr>
        <w:t>for at least</w:t>
      </w:r>
      <w:r>
        <w:rPr>
          <w:spacing w:val="-2"/>
          <w:sz w:val="22"/>
        </w:rPr>
        <w:t> </w:t>
      </w:r>
      <w:r>
        <w:rPr>
          <w:sz w:val="22"/>
        </w:rPr>
        <w:t>ten</w:t>
      </w:r>
      <w:r>
        <w:rPr>
          <w:spacing w:val="-2"/>
          <w:sz w:val="22"/>
        </w:rPr>
        <w:t> </w:t>
      </w:r>
      <w:r>
        <w:rPr>
          <w:sz w:val="22"/>
        </w:rPr>
        <w:t>years</w:t>
      </w:r>
      <w:r>
        <w:rPr>
          <w:spacing w:val="-1"/>
          <w:sz w:val="22"/>
        </w:rPr>
        <w:t> </w:t>
      </w:r>
      <w:r>
        <w:rPr>
          <w:sz w:val="22"/>
        </w:rPr>
        <w:t>after</w:t>
      </w:r>
      <w:r>
        <w:rPr>
          <w:spacing w:val="-3"/>
          <w:sz w:val="22"/>
        </w:rPr>
        <w:t> </w:t>
      </w:r>
      <w:r>
        <w:rPr>
          <w:sz w:val="22"/>
        </w:rPr>
        <w:t>the</w:t>
      </w:r>
      <w:r>
        <w:rPr>
          <w:spacing w:val="-2"/>
          <w:sz w:val="22"/>
        </w:rPr>
        <w:t> </w:t>
      </w:r>
      <w:r>
        <w:rPr>
          <w:sz w:val="22"/>
        </w:rPr>
        <w:t>end</w:t>
      </w:r>
      <w:r>
        <w:rPr>
          <w:spacing w:val="-2"/>
          <w:sz w:val="22"/>
        </w:rPr>
        <w:t> </w:t>
      </w:r>
      <w:r>
        <w:rPr>
          <w:sz w:val="22"/>
        </w:rPr>
        <w:t>of the</w:t>
      </w:r>
      <w:r>
        <w:rPr>
          <w:spacing w:val="-4"/>
          <w:sz w:val="22"/>
        </w:rPr>
        <w:t> </w:t>
      </w:r>
      <w:r>
        <w:rPr>
          <w:sz w:val="22"/>
        </w:rPr>
        <w:t>calendar year to which these data relate</w:t>
      </w:r>
    </w:p>
    <w:p>
      <w:pPr>
        <w:pStyle w:val="ListParagraph"/>
        <w:numPr>
          <w:ilvl w:val="0"/>
          <w:numId w:val="1"/>
        </w:numPr>
        <w:tabs>
          <w:tab w:pos="722" w:val="left" w:leader="none"/>
        </w:tabs>
        <w:spacing w:line="267" w:lineRule="exact" w:before="0" w:after="0"/>
        <w:ind w:left="722" w:right="0" w:hanging="359"/>
        <w:jc w:val="both"/>
        <w:rPr>
          <w:sz w:val="22"/>
        </w:rPr>
      </w:pPr>
      <w:r>
        <w:rPr>
          <w:sz w:val="22"/>
        </w:rPr>
        <w:t>10</w:t>
      </w:r>
      <w:r>
        <w:rPr>
          <w:spacing w:val="-1"/>
          <w:sz w:val="22"/>
        </w:rPr>
        <w:t> </w:t>
      </w:r>
      <w:r>
        <w:rPr>
          <w:sz w:val="22"/>
        </w:rPr>
        <w:t>years</w:t>
      </w:r>
      <w:r>
        <w:rPr>
          <w:spacing w:val="-3"/>
          <w:sz w:val="22"/>
        </w:rPr>
        <w:t> </w:t>
      </w:r>
      <w:r>
        <w:rPr>
          <w:sz w:val="22"/>
        </w:rPr>
        <w:t>– R</w:t>
      </w:r>
      <w:r>
        <w:rPr>
          <w:spacing w:val="-3"/>
          <w:sz w:val="22"/>
        </w:rPr>
        <w:t> </w:t>
      </w:r>
      <w:r>
        <w:rPr>
          <w:spacing w:val="-2"/>
          <w:sz w:val="22"/>
        </w:rPr>
        <w:t>orders</w:t>
      </w:r>
    </w:p>
    <w:p>
      <w:pPr>
        <w:pStyle w:val="ListParagraph"/>
        <w:numPr>
          <w:ilvl w:val="0"/>
          <w:numId w:val="1"/>
        </w:numPr>
        <w:tabs>
          <w:tab w:pos="721" w:val="left" w:leader="none"/>
          <w:tab w:pos="723" w:val="left" w:leader="none"/>
        </w:tabs>
        <w:spacing w:line="256" w:lineRule="auto" w:before="14" w:after="0"/>
        <w:ind w:left="723" w:right="136" w:hanging="361"/>
        <w:jc w:val="both"/>
        <w:rPr>
          <w:sz w:val="22"/>
        </w:rPr>
      </w:pPr>
      <w:r>
        <w:rPr>
          <w:sz w:val="22"/>
        </w:rPr>
        <w:t>10 years</w:t>
      </w:r>
      <w:r>
        <w:rPr>
          <w:spacing w:val="-1"/>
          <w:sz w:val="22"/>
        </w:rPr>
        <w:t> </w:t>
      </w:r>
      <w:r>
        <w:rPr>
          <w:sz w:val="22"/>
        </w:rPr>
        <w:t>- a</w:t>
      </w:r>
      <w:r>
        <w:rPr>
          <w:spacing w:val="-2"/>
          <w:sz w:val="22"/>
        </w:rPr>
        <w:t> </w:t>
      </w:r>
      <w:r>
        <w:rPr>
          <w:sz w:val="22"/>
        </w:rPr>
        <w:t>list of persons who</w:t>
      </w:r>
      <w:r>
        <w:rPr>
          <w:spacing w:val="-2"/>
          <w:sz w:val="22"/>
        </w:rPr>
        <w:t> </w:t>
      </w:r>
      <w:r>
        <w:rPr>
          <w:sz w:val="22"/>
        </w:rPr>
        <w:t>have</w:t>
      </w:r>
      <w:r>
        <w:rPr>
          <w:spacing w:val="-2"/>
          <w:sz w:val="22"/>
        </w:rPr>
        <w:t> </w:t>
      </w:r>
      <w:r>
        <w:rPr>
          <w:sz w:val="22"/>
        </w:rPr>
        <w:t>entered</w:t>
      </w:r>
      <w:r>
        <w:rPr>
          <w:spacing w:val="-2"/>
          <w:sz w:val="22"/>
        </w:rPr>
        <w:t> </w:t>
      </w:r>
      <w:r>
        <w:rPr>
          <w:sz w:val="22"/>
        </w:rPr>
        <w:t>the</w:t>
      </w:r>
      <w:r>
        <w:rPr>
          <w:spacing w:val="-2"/>
          <w:sz w:val="22"/>
        </w:rPr>
        <w:t> </w:t>
      </w:r>
      <w:r>
        <w:rPr>
          <w:sz w:val="22"/>
        </w:rPr>
        <w:t>controlled area,</w:t>
      </w:r>
      <w:r>
        <w:rPr>
          <w:spacing w:val="-3"/>
          <w:sz w:val="22"/>
        </w:rPr>
        <w:t> </w:t>
      </w:r>
      <w:r>
        <w:rPr>
          <w:sz w:val="22"/>
        </w:rPr>
        <w:t>the length of stay</w:t>
      </w:r>
      <w:r>
        <w:rPr>
          <w:spacing w:val="-1"/>
          <w:sz w:val="22"/>
        </w:rPr>
        <w:t> </w:t>
      </w:r>
      <w:r>
        <w:rPr>
          <w:sz w:val="22"/>
        </w:rPr>
        <w:t>of these persons in the controlled area, and the effective dose of these persons during their stay in the controlled area</w:t>
      </w:r>
    </w:p>
    <w:p>
      <w:pPr>
        <w:pStyle w:val="Heading1"/>
        <w:spacing w:before="164"/>
        <w:ind w:left="711"/>
      </w:pPr>
      <w:r>
        <w:rPr>
          <w:color w:val="253A96"/>
        </w:rPr>
        <w:t>What</w:t>
      </w:r>
      <w:r>
        <w:rPr>
          <w:color w:val="253A96"/>
          <w:spacing w:val="-4"/>
        </w:rPr>
        <w:t> </w:t>
      </w:r>
      <w:r>
        <w:rPr>
          <w:color w:val="253A96"/>
        </w:rPr>
        <w:t>are</w:t>
      </w:r>
      <w:r>
        <w:rPr>
          <w:color w:val="253A96"/>
          <w:spacing w:val="-2"/>
        </w:rPr>
        <w:t> </w:t>
      </w:r>
      <w:r>
        <w:rPr>
          <w:color w:val="253A96"/>
        </w:rPr>
        <w:t>your</w:t>
      </w:r>
      <w:r>
        <w:rPr>
          <w:color w:val="253A96"/>
          <w:spacing w:val="-3"/>
        </w:rPr>
        <w:t> </w:t>
      </w:r>
      <w:r>
        <w:rPr>
          <w:color w:val="253A96"/>
        </w:rPr>
        <w:t>rights</w:t>
      </w:r>
      <w:r>
        <w:rPr>
          <w:color w:val="253A96"/>
          <w:spacing w:val="-3"/>
        </w:rPr>
        <w:t> </w:t>
      </w:r>
      <w:r>
        <w:rPr>
          <w:color w:val="253A96"/>
        </w:rPr>
        <w:t>as</w:t>
      </w:r>
      <w:r>
        <w:rPr>
          <w:color w:val="253A96"/>
          <w:spacing w:val="-4"/>
        </w:rPr>
        <w:t> </w:t>
      </w:r>
      <w:r>
        <w:rPr>
          <w:color w:val="253A96"/>
        </w:rPr>
        <w:t>a</w:t>
      </w:r>
      <w:r>
        <w:rPr>
          <w:color w:val="253A96"/>
          <w:spacing w:val="-2"/>
        </w:rPr>
        <w:t> </w:t>
      </w:r>
      <w:r>
        <w:rPr>
          <w:color w:val="253A96"/>
        </w:rPr>
        <w:t>data</w:t>
      </w:r>
      <w:r>
        <w:rPr>
          <w:color w:val="253A96"/>
          <w:spacing w:val="-2"/>
        </w:rPr>
        <w:t> subject?</w:t>
      </w:r>
    </w:p>
    <w:p>
      <w:pPr>
        <w:pStyle w:val="BodyText"/>
        <w:spacing w:line="410" w:lineRule="auto" w:before="179"/>
        <w:ind w:left="3" w:right="3530" w:firstLine="707"/>
      </w:pPr>
      <w:r>
        <w:rPr/>
        <w:t>As</w:t>
      </w:r>
      <w:r>
        <w:rPr>
          <w:spacing w:val="-4"/>
        </w:rPr>
        <w:t> </w:t>
      </w:r>
      <w:r>
        <w:rPr/>
        <w:t>a</w:t>
      </w:r>
      <w:r>
        <w:rPr>
          <w:spacing w:val="-5"/>
        </w:rPr>
        <w:t> </w:t>
      </w:r>
      <w:r>
        <w:rPr/>
        <w:t>data</w:t>
      </w:r>
      <w:r>
        <w:rPr>
          <w:spacing w:val="-5"/>
        </w:rPr>
        <w:t> </w:t>
      </w:r>
      <w:r>
        <w:rPr/>
        <w:t>subject</w:t>
      </w:r>
      <w:r>
        <w:rPr>
          <w:spacing w:val="-3"/>
        </w:rPr>
        <w:t> </w:t>
      </w:r>
      <w:r>
        <w:rPr/>
        <w:t>you</w:t>
      </w:r>
      <w:r>
        <w:rPr>
          <w:spacing w:val="-6"/>
        </w:rPr>
        <w:t> </w:t>
      </w:r>
      <w:r>
        <w:rPr/>
        <w:t>have</w:t>
      </w:r>
      <w:r>
        <w:rPr>
          <w:spacing w:val="-5"/>
        </w:rPr>
        <w:t> </w:t>
      </w:r>
      <w:r>
        <w:rPr/>
        <w:t>the</w:t>
      </w:r>
      <w:r>
        <w:rPr>
          <w:spacing w:val="-6"/>
        </w:rPr>
        <w:t> </w:t>
      </w:r>
      <w:r>
        <w:rPr/>
        <w:t>following</w:t>
      </w:r>
      <w:r>
        <w:rPr>
          <w:spacing w:val="-5"/>
        </w:rPr>
        <w:t> </w:t>
      </w:r>
      <w:r>
        <w:rPr/>
        <w:t>rights: </w:t>
      </w:r>
      <w:r>
        <w:rPr>
          <w:color w:val="2C2C2C"/>
        </w:rPr>
        <w:t>With respect to the Company’s legal obligation:</w:t>
      </w:r>
    </w:p>
    <w:p>
      <w:pPr>
        <w:pStyle w:val="ListParagraph"/>
        <w:numPr>
          <w:ilvl w:val="0"/>
          <w:numId w:val="1"/>
        </w:numPr>
        <w:tabs>
          <w:tab w:pos="724" w:val="left" w:leader="none"/>
        </w:tabs>
        <w:spacing w:line="240" w:lineRule="auto" w:before="3" w:after="0"/>
        <w:ind w:left="724" w:right="0" w:hanging="360"/>
        <w:jc w:val="left"/>
        <w:rPr>
          <w:sz w:val="22"/>
        </w:rPr>
      </w:pPr>
      <w:r>
        <w:rPr>
          <w:color w:val="2C2C2C"/>
          <w:sz w:val="22"/>
        </w:rPr>
        <w:t>The</w:t>
      </w:r>
      <w:r>
        <w:rPr>
          <w:color w:val="2C2C2C"/>
          <w:spacing w:val="-3"/>
          <w:sz w:val="22"/>
        </w:rPr>
        <w:t> </w:t>
      </w:r>
      <w:r>
        <w:rPr>
          <w:color w:val="2C2C2C"/>
          <w:sz w:val="22"/>
        </w:rPr>
        <w:t>right</w:t>
      </w:r>
      <w:r>
        <w:rPr>
          <w:color w:val="2C2C2C"/>
          <w:spacing w:val="-2"/>
          <w:sz w:val="22"/>
        </w:rPr>
        <w:t> </w:t>
      </w:r>
      <w:r>
        <w:rPr>
          <w:color w:val="2C2C2C"/>
          <w:sz w:val="22"/>
        </w:rPr>
        <w:t>of</w:t>
      </w:r>
      <w:r>
        <w:rPr>
          <w:color w:val="2C2C2C"/>
          <w:spacing w:val="-2"/>
          <w:sz w:val="22"/>
        </w:rPr>
        <w:t> access</w:t>
      </w:r>
    </w:p>
    <w:p>
      <w:pPr>
        <w:pStyle w:val="ListParagraph"/>
        <w:numPr>
          <w:ilvl w:val="0"/>
          <w:numId w:val="1"/>
        </w:numPr>
        <w:tabs>
          <w:tab w:pos="724" w:val="left" w:leader="none"/>
        </w:tabs>
        <w:spacing w:line="240" w:lineRule="auto" w:before="19" w:after="0"/>
        <w:ind w:left="724" w:right="0" w:hanging="360"/>
        <w:jc w:val="left"/>
        <w:rPr>
          <w:sz w:val="22"/>
        </w:rPr>
      </w:pPr>
      <w:r>
        <w:rPr>
          <w:color w:val="2C2C2C"/>
          <w:sz w:val="22"/>
        </w:rPr>
        <w:t>The</w:t>
      </w:r>
      <w:r>
        <w:rPr>
          <w:color w:val="2C2C2C"/>
          <w:spacing w:val="-2"/>
          <w:sz w:val="22"/>
        </w:rPr>
        <w:t> </w:t>
      </w:r>
      <w:r>
        <w:rPr>
          <w:color w:val="2C2C2C"/>
          <w:sz w:val="22"/>
        </w:rPr>
        <w:t>right</w:t>
      </w:r>
      <w:r>
        <w:rPr>
          <w:color w:val="2C2C2C"/>
          <w:spacing w:val="-2"/>
          <w:sz w:val="22"/>
        </w:rPr>
        <w:t> </w:t>
      </w:r>
      <w:r>
        <w:rPr>
          <w:color w:val="2C2C2C"/>
          <w:sz w:val="22"/>
        </w:rPr>
        <w:t>to</w:t>
      </w:r>
      <w:r>
        <w:rPr>
          <w:color w:val="2C2C2C"/>
          <w:spacing w:val="-3"/>
          <w:sz w:val="22"/>
        </w:rPr>
        <w:t> </w:t>
      </w:r>
      <w:r>
        <w:rPr>
          <w:color w:val="2C2C2C"/>
          <w:spacing w:val="-2"/>
          <w:sz w:val="22"/>
        </w:rPr>
        <w:t>rectification</w:t>
      </w:r>
    </w:p>
    <w:p>
      <w:pPr>
        <w:pStyle w:val="ListParagraph"/>
        <w:numPr>
          <w:ilvl w:val="0"/>
          <w:numId w:val="1"/>
        </w:numPr>
        <w:tabs>
          <w:tab w:pos="724" w:val="left" w:leader="none"/>
        </w:tabs>
        <w:spacing w:line="240" w:lineRule="auto" w:before="18" w:after="0"/>
        <w:ind w:left="724" w:right="0" w:hanging="360"/>
        <w:jc w:val="left"/>
        <w:rPr>
          <w:sz w:val="22"/>
        </w:rPr>
      </w:pPr>
      <w:r>
        <w:rPr>
          <w:color w:val="2C2C2C"/>
          <w:sz w:val="22"/>
        </w:rPr>
        <w:t>The</w:t>
      </w:r>
      <w:r>
        <w:rPr>
          <w:color w:val="2C2C2C"/>
          <w:spacing w:val="-3"/>
          <w:sz w:val="22"/>
        </w:rPr>
        <w:t> </w:t>
      </w:r>
      <w:r>
        <w:rPr>
          <w:color w:val="2C2C2C"/>
          <w:sz w:val="22"/>
        </w:rPr>
        <w:t>right</w:t>
      </w:r>
      <w:r>
        <w:rPr>
          <w:color w:val="2C2C2C"/>
          <w:spacing w:val="-3"/>
          <w:sz w:val="22"/>
        </w:rPr>
        <w:t> </w:t>
      </w:r>
      <w:r>
        <w:rPr>
          <w:color w:val="2C2C2C"/>
          <w:sz w:val="22"/>
        </w:rPr>
        <w:t>to</w:t>
      </w:r>
      <w:r>
        <w:rPr>
          <w:color w:val="2C2C2C"/>
          <w:spacing w:val="-5"/>
          <w:sz w:val="22"/>
        </w:rPr>
        <w:t> </w:t>
      </w:r>
      <w:r>
        <w:rPr>
          <w:color w:val="2C2C2C"/>
          <w:sz w:val="22"/>
        </w:rPr>
        <w:t>erasure</w:t>
      </w:r>
      <w:r>
        <w:rPr>
          <w:color w:val="2C2C2C"/>
          <w:spacing w:val="-4"/>
          <w:sz w:val="22"/>
        </w:rPr>
        <w:t> </w:t>
      </w:r>
      <w:r>
        <w:rPr>
          <w:color w:val="2C2C2C"/>
          <w:sz w:val="22"/>
        </w:rPr>
        <w:t>(‘right</w:t>
      </w:r>
      <w:r>
        <w:rPr>
          <w:color w:val="2C2C2C"/>
          <w:spacing w:val="-4"/>
          <w:sz w:val="22"/>
        </w:rPr>
        <w:t> </w:t>
      </w:r>
      <w:r>
        <w:rPr>
          <w:color w:val="2C2C2C"/>
          <w:sz w:val="22"/>
        </w:rPr>
        <w:t>to</w:t>
      </w:r>
      <w:r>
        <w:rPr>
          <w:color w:val="2C2C2C"/>
          <w:spacing w:val="-3"/>
          <w:sz w:val="22"/>
        </w:rPr>
        <w:t> </w:t>
      </w:r>
      <w:r>
        <w:rPr>
          <w:color w:val="2C2C2C"/>
          <w:sz w:val="22"/>
        </w:rPr>
        <w:t>be</w:t>
      </w:r>
      <w:r>
        <w:rPr>
          <w:color w:val="2C2C2C"/>
          <w:spacing w:val="-4"/>
          <w:sz w:val="22"/>
        </w:rPr>
        <w:t> </w:t>
      </w:r>
      <w:r>
        <w:rPr>
          <w:color w:val="2C2C2C"/>
          <w:spacing w:val="-2"/>
          <w:sz w:val="22"/>
        </w:rPr>
        <w:t>forgotten’)</w:t>
      </w:r>
    </w:p>
    <w:p>
      <w:pPr>
        <w:pStyle w:val="ListParagraph"/>
        <w:numPr>
          <w:ilvl w:val="0"/>
          <w:numId w:val="1"/>
        </w:numPr>
        <w:tabs>
          <w:tab w:pos="724" w:val="left" w:leader="none"/>
        </w:tabs>
        <w:spacing w:line="240" w:lineRule="auto" w:before="19" w:after="0"/>
        <w:ind w:left="724" w:right="0" w:hanging="360"/>
        <w:jc w:val="left"/>
        <w:rPr>
          <w:sz w:val="22"/>
        </w:rPr>
      </w:pPr>
      <w:r>
        <w:rPr>
          <w:color w:val="2C2C2C"/>
          <w:sz w:val="22"/>
        </w:rPr>
        <w:t>The</w:t>
      </w:r>
      <w:r>
        <w:rPr>
          <w:color w:val="2C2C2C"/>
          <w:spacing w:val="-4"/>
          <w:sz w:val="22"/>
        </w:rPr>
        <w:t> </w:t>
      </w:r>
      <w:r>
        <w:rPr>
          <w:color w:val="2C2C2C"/>
          <w:sz w:val="22"/>
        </w:rPr>
        <w:t>right</w:t>
      </w:r>
      <w:r>
        <w:rPr>
          <w:color w:val="2C2C2C"/>
          <w:spacing w:val="-3"/>
          <w:sz w:val="22"/>
        </w:rPr>
        <w:t> </w:t>
      </w:r>
      <w:r>
        <w:rPr>
          <w:color w:val="2C2C2C"/>
          <w:sz w:val="22"/>
        </w:rPr>
        <w:t>to</w:t>
      </w:r>
      <w:r>
        <w:rPr>
          <w:color w:val="2C2C2C"/>
          <w:spacing w:val="-6"/>
          <w:sz w:val="22"/>
        </w:rPr>
        <w:t> </w:t>
      </w:r>
      <w:r>
        <w:rPr>
          <w:color w:val="2C2C2C"/>
          <w:sz w:val="22"/>
        </w:rPr>
        <w:t>restriction</w:t>
      </w:r>
      <w:r>
        <w:rPr>
          <w:color w:val="2C2C2C"/>
          <w:spacing w:val="-3"/>
          <w:sz w:val="22"/>
        </w:rPr>
        <w:t> </w:t>
      </w:r>
      <w:r>
        <w:rPr>
          <w:color w:val="2C2C2C"/>
          <w:sz w:val="22"/>
        </w:rPr>
        <w:t>of</w:t>
      </w:r>
      <w:r>
        <w:rPr>
          <w:color w:val="2C2C2C"/>
          <w:spacing w:val="-5"/>
          <w:sz w:val="22"/>
        </w:rPr>
        <w:t> </w:t>
      </w:r>
      <w:r>
        <w:rPr>
          <w:color w:val="2C2C2C"/>
          <w:sz w:val="22"/>
        </w:rPr>
        <w:t>personal</w:t>
      </w:r>
      <w:r>
        <w:rPr>
          <w:color w:val="2C2C2C"/>
          <w:spacing w:val="-3"/>
          <w:sz w:val="22"/>
        </w:rPr>
        <w:t> </w:t>
      </w:r>
      <w:r>
        <w:rPr>
          <w:color w:val="2C2C2C"/>
          <w:sz w:val="22"/>
        </w:rPr>
        <w:t>data</w:t>
      </w:r>
      <w:r>
        <w:rPr>
          <w:color w:val="2C2C2C"/>
          <w:spacing w:val="-5"/>
          <w:sz w:val="22"/>
        </w:rPr>
        <w:t> </w:t>
      </w:r>
      <w:r>
        <w:rPr>
          <w:color w:val="2C2C2C"/>
          <w:spacing w:val="-2"/>
          <w:sz w:val="22"/>
        </w:rPr>
        <w:t>processing</w:t>
      </w:r>
    </w:p>
    <w:p>
      <w:pPr>
        <w:pStyle w:val="ListParagraph"/>
        <w:numPr>
          <w:ilvl w:val="0"/>
          <w:numId w:val="1"/>
        </w:numPr>
        <w:tabs>
          <w:tab w:pos="724" w:val="left" w:leader="none"/>
        </w:tabs>
        <w:spacing w:line="396" w:lineRule="auto" w:before="18" w:after="0"/>
        <w:ind w:left="4" w:right="2850" w:firstLine="359"/>
        <w:jc w:val="left"/>
        <w:rPr>
          <w:sz w:val="22"/>
        </w:rPr>
      </w:pPr>
      <w:r>
        <w:rPr>
          <w:sz w:val="22"/>
        </w:rPr>
        <w:t>The</w:t>
      </w:r>
      <w:r>
        <w:rPr>
          <w:spacing w:val="-3"/>
          <w:sz w:val="22"/>
        </w:rPr>
        <w:t> </w:t>
      </w:r>
      <w:r>
        <w:rPr>
          <w:sz w:val="22"/>
        </w:rPr>
        <w:t>right</w:t>
      </w:r>
      <w:r>
        <w:rPr>
          <w:spacing w:val="-3"/>
          <w:sz w:val="22"/>
        </w:rPr>
        <w:t> </w:t>
      </w:r>
      <w:r>
        <w:rPr>
          <w:sz w:val="22"/>
        </w:rPr>
        <w:t>to</w:t>
      </w:r>
      <w:r>
        <w:rPr>
          <w:spacing w:val="-5"/>
          <w:sz w:val="22"/>
        </w:rPr>
        <w:t> </w:t>
      </w:r>
      <w:r>
        <w:rPr>
          <w:sz w:val="22"/>
        </w:rPr>
        <w:t>lodge</w:t>
      </w:r>
      <w:r>
        <w:rPr>
          <w:spacing w:val="-3"/>
          <w:sz w:val="22"/>
        </w:rPr>
        <w:t> </w:t>
      </w:r>
      <w:r>
        <w:rPr>
          <w:sz w:val="22"/>
        </w:rPr>
        <w:t>a</w:t>
      </w:r>
      <w:r>
        <w:rPr>
          <w:spacing w:val="-5"/>
          <w:sz w:val="22"/>
        </w:rPr>
        <w:t> </w:t>
      </w:r>
      <w:r>
        <w:rPr>
          <w:sz w:val="22"/>
        </w:rPr>
        <w:t>complaint</w:t>
      </w:r>
      <w:r>
        <w:rPr>
          <w:spacing w:val="-1"/>
          <w:sz w:val="22"/>
        </w:rPr>
        <w:t> </w:t>
      </w:r>
      <w:r>
        <w:rPr>
          <w:sz w:val="22"/>
        </w:rPr>
        <w:t>with</w:t>
      </w:r>
      <w:r>
        <w:rPr>
          <w:spacing w:val="-3"/>
          <w:sz w:val="22"/>
        </w:rPr>
        <w:t> </w:t>
      </w:r>
      <w:r>
        <w:rPr>
          <w:sz w:val="22"/>
        </w:rPr>
        <w:t>a</w:t>
      </w:r>
      <w:r>
        <w:rPr>
          <w:spacing w:val="-5"/>
          <w:sz w:val="22"/>
        </w:rPr>
        <w:t> </w:t>
      </w:r>
      <w:r>
        <w:rPr>
          <w:sz w:val="22"/>
        </w:rPr>
        <w:t>supervisory</w:t>
      </w:r>
      <w:r>
        <w:rPr>
          <w:spacing w:val="-5"/>
          <w:sz w:val="22"/>
        </w:rPr>
        <w:t> </w:t>
      </w:r>
      <w:r>
        <w:rPr>
          <w:sz w:val="22"/>
        </w:rPr>
        <w:t>authority </w:t>
      </w:r>
      <w:r>
        <w:rPr>
          <w:color w:val="2C2C2C"/>
          <w:sz w:val="22"/>
        </w:rPr>
        <w:t>With respect to the Company’s legitimate interest:</w:t>
      </w:r>
    </w:p>
    <w:p>
      <w:pPr>
        <w:pStyle w:val="ListParagraph"/>
        <w:numPr>
          <w:ilvl w:val="0"/>
          <w:numId w:val="1"/>
        </w:numPr>
        <w:tabs>
          <w:tab w:pos="724" w:val="left" w:leader="none"/>
        </w:tabs>
        <w:spacing w:line="240" w:lineRule="auto" w:before="19" w:after="0"/>
        <w:ind w:left="724" w:right="0" w:hanging="360"/>
        <w:jc w:val="left"/>
        <w:rPr>
          <w:sz w:val="22"/>
        </w:rPr>
      </w:pPr>
      <w:r>
        <w:rPr>
          <w:color w:val="2C2C2C"/>
          <w:sz w:val="22"/>
        </w:rPr>
        <w:t>The</w:t>
      </w:r>
      <w:r>
        <w:rPr>
          <w:color w:val="2C2C2C"/>
          <w:spacing w:val="-3"/>
          <w:sz w:val="22"/>
        </w:rPr>
        <w:t> </w:t>
      </w:r>
      <w:r>
        <w:rPr>
          <w:color w:val="2C2C2C"/>
          <w:sz w:val="22"/>
        </w:rPr>
        <w:t>right</w:t>
      </w:r>
      <w:r>
        <w:rPr>
          <w:color w:val="2C2C2C"/>
          <w:spacing w:val="-2"/>
          <w:sz w:val="22"/>
        </w:rPr>
        <w:t> </w:t>
      </w:r>
      <w:r>
        <w:rPr>
          <w:color w:val="2C2C2C"/>
          <w:sz w:val="22"/>
        </w:rPr>
        <w:t>of</w:t>
      </w:r>
      <w:r>
        <w:rPr>
          <w:color w:val="2C2C2C"/>
          <w:spacing w:val="-2"/>
          <w:sz w:val="22"/>
        </w:rPr>
        <w:t> access</w:t>
      </w:r>
    </w:p>
    <w:p>
      <w:pPr>
        <w:pStyle w:val="ListParagraph"/>
        <w:numPr>
          <w:ilvl w:val="0"/>
          <w:numId w:val="1"/>
        </w:numPr>
        <w:tabs>
          <w:tab w:pos="725" w:val="left" w:leader="none"/>
        </w:tabs>
        <w:spacing w:line="240" w:lineRule="auto" w:before="16" w:after="0"/>
        <w:ind w:left="725" w:right="0" w:hanging="360"/>
        <w:jc w:val="left"/>
        <w:rPr>
          <w:sz w:val="22"/>
        </w:rPr>
      </w:pPr>
      <w:r>
        <w:rPr>
          <w:color w:val="2C2C2C"/>
          <w:sz w:val="22"/>
        </w:rPr>
        <w:t>The</w:t>
      </w:r>
      <w:r>
        <w:rPr>
          <w:color w:val="2C2C2C"/>
          <w:spacing w:val="-2"/>
          <w:sz w:val="22"/>
        </w:rPr>
        <w:t> </w:t>
      </w:r>
      <w:r>
        <w:rPr>
          <w:color w:val="2C2C2C"/>
          <w:sz w:val="22"/>
        </w:rPr>
        <w:t>right</w:t>
      </w:r>
      <w:r>
        <w:rPr>
          <w:color w:val="2C2C2C"/>
          <w:spacing w:val="-2"/>
          <w:sz w:val="22"/>
        </w:rPr>
        <w:t> </w:t>
      </w:r>
      <w:r>
        <w:rPr>
          <w:color w:val="2C2C2C"/>
          <w:sz w:val="22"/>
        </w:rPr>
        <w:t>to</w:t>
      </w:r>
      <w:r>
        <w:rPr>
          <w:color w:val="2C2C2C"/>
          <w:spacing w:val="-3"/>
          <w:sz w:val="22"/>
        </w:rPr>
        <w:t> </w:t>
      </w:r>
      <w:r>
        <w:rPr>
          <w:color w:val="2C2C2C"/>
          <w:spacing w:val="-2"/>
          <w:sz w:val="22"/>
        </w:rPr>
        <w:t>rectification</w:t>
      </w:r>
    </w:p>
    <w:p>
      <w:pPr>
        <w:pStyle w:val="ListParagraph"/>
        <w:numPr>
          <w:ilvl w:val="0"/>
          <w:numId w:val="1"/>
        </w:numPr>
        <w:tabs>
          <w:tab w:pos="725" w:val="left" w:leader="none"/>
        </w:tabs>
        <w:spacing w:line="240" w:lineRule="auto" w:before="18" w:after="0"/>
        <w:ind w:left="725" w:right="0" w:hanging="360"/>
        <w:jc w:val="left"/>
        <w:rPr>
          <w:sz w:val="22"/>
        </w:rPr>
      </w:pPr>
      <w:r>
        <w:rPr>
          <w:color w:val="2C2C2C"/>
          <w:sz w:val="22"/>
        </w:rPr>
        <w:t>The</w:t>
      </w:r>
      <w:r>
        <w:rPr>
          <w:color w:val="2C2C2C"/>
          <w:spacing w:val="-3"/>
          <w:sz w:val="22"/>
        </w:rPr>
        <w:t> </w:t>
      </w:r>
      <w:r>
        <w:rPr>
          <w:color w:val="2C2C2C"/>
          <w:sz w:val="22"/>
        </w:rPr>
        <w:t>right</w:t>
      </w:r>
      <w:r>
        <w:rPr>
          <w:color w:val="2C2C2C"/>
          <w:spacing w:val="-3"/>
          <w:sz w:val="22"/>
        </w:rPr>
        <w:t> </w:t>
      </w:r>
      <w:r>
        <w:rPr>
          <w:color w:val="2C2C2C"/>
          <w:sz w:val="22"/>
        </w:rPr>
        <w:t>to</w:t>
      </w:r>
      <w:r>
        <w:rPr>
          <w:color w:val="2C2C2C"/>
          <w:spacing w:val="-5"/>
          <w:sz w:val="22"/>
        </w:rPr>
        <w:t> </w:t>
      </w:r>
      <w:r>
        <w:rPr>
          <w:color w:val="2C2C2C"/>
          <w:sz w:val="22"/>
        </w:rPr>
        <w:t>erasure</w:t>
      </w:r>
      <w:r>
        <w:rPr>
          <w:color w:val="2C2C2C"/>
          <w:spacing w:val="-4"/>
          <w:sz w:val="22"/>
        </w:rPr>
        <w:t> </w:t>
      </w:r>
      <w:r>
        <w:rPr>
          <w:color w:val="2C2C2C"/>
          <w:sz w:val="22"/>
        </w:rPr>
        <w:t>(‘right</w:t>
      </w:r>
      <w:r>
        <w:rPr>
          <w:color w:val="2C2C2C"/>
          <w:spacing w:val="-4"/>
          <w:sz w:val="22"/>
        </w:rPr>
        <w:t> </w:t>
      </w:r>
      <w:r>
        <w:rPr>
          <w:color w:val="2C2C2C"/>
          <w:sz w:val="22"/>
        </w:rPr>
        <w:t>to</w:t>
      </w:r>
      <w:r>
        <w:rPr>
          <w:color w:val="2C2C2C"/>
          <w:spacing w:val="-3"/>
          <w:sz w:val="22"/>
        </w:rPr>
        <w:t> </w:t>
      </w:r>
      <w:r>
        <w:rPr>
          <w:color w:val="2C2C2C"/>
          <w:sz w:val="22"/>
        </w:rPr>
        <w:t>be</w:t>
      </w:r>
      <w:r>
        <w:rPr>
          <w:color w:val="2C2C2C"/>
          <w:spacing w:val="-4"/>
          <w:sz w:val="22"/>
        </w:rPr>
        <w:t> </w:t>
      </w:r>
      <w:r>
        <w:rPr>
          <w:color w:val="2C2C2C"/>
          <w:spacing w:val="-2"/>
          <w:sz w:val="22"/>
        </w:rPr>
        <w:t>forgotten’)</w:t>
      </w:r>
    </w:p>
    <w:p>
      <w:pPr>
        <w:pStyle w:val="ListParagraph"/>
        <w:numPr>
          <w:ilvl w:val="0"/>
          <w:numId w:val="1"/>
        </w:numPr>
        <w:tabs>
          <w:tab w:pos="725" w:val="left" w:leader="none"/>
        </w:tabs>
        <w:spacing w:line="240" w:lineRule="auto" w:before="18" w:after="0"/>
        <w:ind w:left="725" w:right="0" w:hanging="360"/>
        <w:jc w:val="left"/>
        <w:rPr>
          <w:sz w:val="22"/>
        </w:rPr>
      </w:pPr>
      <w:r>
        <w:rPr>
          <w:color w:val="2C2C2C"/>
          <w:sz w:val="22"/>
        </w:rPr>
        <w:t>The</w:t>
      </w:r>
      <w:r>
        <w:rPr>
          <w:color w:val="2C2C2C"/>
          <w:spacing w:val="-4"/>
          <w:sz w:val="22"/>
        </w:rPr>
        <w:t> </w:t>
      </w:r>
      <w:r>
        <w:rPr>
          <w:color w:val="2C2C2C"/>
          <w:sz w:val="22"/>
        </w:rPr>
        <w:t>right</w:t>
      </w:r>
      <w:r>
        <w:rPr>
          <w:color w:val="2C2C2C"/>
          <w:spacing w:val="-4"/>
          <w:sz w:val="22"/>
        </w:rPr>
        <w:t> </w:t>
      </w:r>
      <w:r>
        <w:rPr>
          <w:color w:val="2C2C2C"/>
          <w:sz w:val="22"/>
        </w:rPr>
        <w:t>to</w:t>
      </w:r>
      <w:r>
        <w:rPr>
          <w:color w:val="2C2C2C"/>
          <w:spacing w:val="-5"/>
          <w:sz w:val="22"/>
        </w:rPr>
        <w:t> </w:t>
      </w:r>
      <w:r>
        <w:rPr>
          <w:color w:val="2C2C2C"/>
          <w:sz w:val="22"/>
        </w:rPr>
        <w:t>restriction</w:t>
      </w:r>
      <w:r>
        <w:rPr>
          <w:color w:val="2C2C2C"/>
          <w:spacing w:val="-4"/>
          <w:sz w:val="22"/>
        </w:rPr>
        <w:t> </w:t>
      </w:r>
      <w:r>
        <w:rPr>
          <w:color w:val="2C2C2C"/>
          <w:sz w:val="22"/>
        </w:rPr>
        <w:t>of</w:t>
      </w:r>
      <w:r>
        <w:rPr>
          <w:color w:val="2C2C2C"/>
          <w:spacing w:val="-4"/>
          <w:sz w:val="22"/>
        </w:rPr>
        <w:t> </w:t>
      </w:r>
      <w:r>
        <w:rPr>
          <w:color w:val="2C2C2C"/>
          <w:sz w:val="22"/>
        </w:rPr>
        <w:t>personal</w:t>
      </w:r>
      <w:r>
        <w:rPr>
          <w:color w:val="2C2C2C"/>
          <w:spacing w:val="-4"/>
          <w:sz w:val="22"/>
        </w:rPr>
        <w:t> </w:t>
      </w:r>
      <w:r>
        <w:rPr>
          <w:color w:val="2C2C2C"/>
          <w:sz w:val="22"/>
        </w:rPr>
        <w:t>data</w:t>
      </w:r>
      <w:r>
        <w:rPr>
          <w:color w:val="2C2C2C"/>
          <w:spacing w:val="-5"/>
          <w:sz w:val="22"/>
        </w:rPr>
        <w:t> </w:t>
      </w:r>
      <w:r>
        <w:rPr>
          <w:color w:val="2C2C2C"/>
          <w:spacing w:val="-2"/>
          <w:sz w:val="22"/>
        </w:rPr>
        <w:t>processing</w:t>
      </w:r>
    </w:p>
    <w:p>
      <w:pPr>
        <w:pStyle w:val="ListParagraph"/>
        <w:spacing w:after="0" w:line="240" w:lineRule="auto"/>
        <w:jc w:val="left"/>
        <w:rPr>
          <w:sz w:val="22"/>
        </w:rPr>
        <w:sectPr>
          <w:pgSz w:w="11900" w:h="16850"/>
          <w:pgMar w:header="1438" w:footer="541" w:top="2000" w:bottom="740" w:left="1417" w:right="1275"/>
        </w:sectPr>
      </w:pPr>
    </w:p>
    <w:p>
      <w:pPr>
        <w:pStyle w:val="BodyText"/>
      </w:pPr>
    </w:p>
    <w:p>
      <w:pPr>
        <w:pStyle w:val="BodyText"/>
        <w:spacing w:before="252"/>
      </w:pPr>
    </w:p>
    <w:p>
      <w:pPr>
        <w:pStyle w:val="ListParagraph"/>
        <w:numPr>
          <w:ilvl w:val="0"/>
          <w:numId w:val="1"/>
        </w:numPr>
        <w:tabs>
          <w:tab w:pos="721" w:val="left" w:leader="none"/>
        </w:tabs>
        <w:spacing w:line="240" w:lineRule="auto" w:before="0" w:after="0"/>
        <w:ind w:left="721" w:right="0" w:hanging="360"/>
        <w:jc w:val="left"/>
        <w:rPr>
          <w:b/>
          <w:sz w:val="22"/>
        </w:rPr>
      </w:pPr>
      <w:r>
        <w:rPr>
          <w:b/>
          <w:sz w:val="22"/>
        </w:rPr>
        <w:t>The</w:t>
      </w:r>
      <w:r>
        <w:rPr>
          <w:b/>
          <w:spacing w:val="-3"/>
          <w:sz w:val="22"/>
        </w:rPr>
        <w:t> </w:t>
      </w:r>
      <w:r>
        <w:rPr>
          <w:b/>
          <w:sz w:val="22"/>
        </w:rPr>
        <w:t>right</w:t>
      </w:r>
      <w:r>
        <w:rPr>
          <w:b/>
          <w:spacing w:val="-2"/>
          <w:sz w:val="22"/>
        </w:rPr>
        <w:t> </w:t>
      </w:r>
      <w:r>
        <w:rPr>
          <w:b/>
          <w:sz w:val="22"/>
        </w:rPr>
        <w:t>to</w:t>
      </w:r>
      <w:r>
        <w:rPr>
          <w:b/>
          <w:spacing w:val="-1"/>
          <w:sz w:val="22"/>
        </w:rPr>
        <w:t> </w:t>
      </w:r>
      <w:r>
        <w:rPr>
          <w:b/>
          <w:spacing w:val="-2"/>
          <w:sz w:val="22"/>
        </w:rPr>
        <w:t>object</w:t>
      </w:r>
    </w:p>
    <w:p>
      <w:pPr>
        <w:pStyle w:val="ListParagraph"/>
        <w:numPr>
          <w:ilvl w:val="0"/>
          <w:numId w:val="1"/>
        </w:numPr>
        <w:tabs>
          <w:tab w:pos="721" w:val="left" w:leader="none"/>
        </w:tabs>
        <w:spacing w:line="240" w:lineRule="auto" w:before="16" w:after="0"/>
        <w:ind w:left="721" w:right="0" w:hanging="360"/>
        <w:jc w:val="left"/>
        <w:rPr>
          <w:sz w:val="22"/>
        </w:rPr>
      </w:pPr>
      <w:r>
        <w:rPr>
          <w:sz w:val="22"/>
        </w:rPr>
        <w:t>The</w:t>
      </w:r>
      <w:r>
        <w:rPr>
          <w:spacing w:val="-6"/>
          <w:sz w:val="22"/>
        </w:rPr>
        <w:t> </w:t>
      </w:r>
      <w:r>
        <w:rPr>
          <w:sz w:val="22"/>
        </w:rPr>
        <w:t>right</w:t>
      </w:r>
      <w:r>
        <w:rPr>
          <w:spacing w:val="-3"/>
          <w:sz w:val="22"/>
        </w:rPr>
        <w:t> </w:t>
      </w:r>
      <w:r>
        <w:rPr>
          <w:sz w:val="22"/>
        </w:rPr>
        <w:t>to</w:t>
      </w:r>
      <w:r>
        <w:rPr>
          <w:spacing w:val="-6"/>
          <w:sz w:val="22"/>
        </w:rPr>
        <w:t> </w:t>
      </w:r>
      <w:r>
        <w:rPr>
          <w:sz w:val="22"/>
        </w:rPr>
        <w:t>lodge</w:t>
      </w:r>
      <w:r>
        <w:rPr>
          <w:spacing w:val="-3"/>
          <w:sz w:val="22"/>
        </w:rPr>
        <w:t> </w:t>
      </w:r>
      <w:r>
        <w:rPr>
          <w:sz w:val="22"/>
        </w:rPr>
        <w:t>a</w:t>
      </w:r>
      <w:r>
        <w:rPr>
          <w:spacing w:val="-6"/>
          <w:sz w:val="22"/>
        </w:rPr>
        <w:t> </w:t>
      </w:r>
      <w:r>
        <w:rPr>
          <w:sz w:val="22"/>
        </w:rPr>
        <w:t>complaint</w:t>
      </w:r>
      <w:r>
        <w:rPr>
          <w:spacing w:val="-1"/>
          <w:sz w:val="22"/>
        </w:rPr>
        <w:t> </w:t>
      </w:r>
      <w:r>
        <w:rPr>
          <w:sz w:val="22"/>
        </w:rPr>
        <w:t>with</w:t>
      </w:r>
      <w:r>
        <w:rPr>
          <w:spacing w:val="-4"/>
          <w:sz w:val="22"/>
        </w:rPr>
        <w:t> </w:t>
      </w:r>
      <w:r>
        <w:rPr>
          <w:sz w:val="22"/>
        </w:rPr>
        <w:t>a</w:t>
      </w:r>
      <w:r>
        <w:rPr>
          <w:spacing w:val="-5"/>
          <w:sz w:val="22"/>
        </w:rPr>
        <w:t> </w:t>
      </w:r>
      <w:r>
        <w:rPr>
          <w:sz w:val="22"/>
        </w:rPr>
        <w:t>supervisory</w:t>
      </w:r>
      <w:r>
        <w:rPr>
          <w:spacing w:val="-5"/>
          <w:sz w:val="22"/>
        </w:rPr>
        <w:t> </w:t>
      </w:r>
      <w:r>
        <w:rPr>
          <w:spacing w:val="-2"/>
          <w:sz w:val="22"/>
        </w:rPr>
        <w:t>authority</w:t>
      </w:r>
    </w:p>
    <w:p>
      <w:pPr>
        <w:pStyle w:val="BodyText"/>
        <w:spacing w:before="177"/>
        <w:ind w:left="1" w:right="139" w:firstLine="708"/>
        <w:jc w:val="both"/>
      </w:pPr>
      <w:r>
        <w:rPr/>
        <w:t>The current contact details of the Office for Personal Data Protection of the Slovak Republic</w:t>
      </w:r>
      <w:r>
        <w:rPr>
          <w:spacing w:val="-1"/>
        </w:rPr>
        <w:t> </w:t>
      </w:r>
      <w:r>
        <w:rPr/>
        <w:t>and</w:t>
      </w:r>
      <w:r>
        <w:rPr>
          <w:spacing w:val="-2"/>
        </w:rPr>
        <w:t> </w:t>
      </w:r>
      <w:r>
        <w:rPr/>
        <w:t>further instructions</w:t>
      </w:r>
      <w:r>
        <w:rPr>
          <w:spacing w:val="-1"/>
        </w:rPr>
        <w:t> </w:t>
      </w:r>
      <w:r>
        <w:rPr/>
        <w:t>on</w:t>
      </w:r>
      <w:r>
        <w:rPr>
          <w:spacing w:val="-2"/>
        </w:rPr>
        <w:t> </w:t>
      </w:r>
      <w:r>
        <w:rPr/>
        <w:t>lodging</w:t>
      </w:r>
      <w:r>
        <w:rPr>
          <w:spacing w:val="-2"/>
        </w:rPr>
        <w:t> </w:t>
      </w:r>
      <w:r>
        <w:rPr/>
        <w:t>such</w:t>
      </w:r>
      <w:r>
        <w:rPr>
          <w:spacing w:val="-4"/>
        </w:rPr>
        <w:t> </w:t>
      </w:r>
      <w:r>
        <w:rPr/>
        <w:t>a</w:t>
      </w:r>
      <w:r>
        <w:rPr>
          <w:spacing w:val="-2"/>
        </w:rPr>
        <w:t> </w:t>
      </w:r>
      <w:r>
        <w:rPr/>
        <w:t>complaint are</w:t>
      </w:r>
      <w:r>
        <w:rPr>
          <w:spacing w:val="-4"/>
        </w:rPr>
        <w:t> </w:t>
      </w:r>
      <w:r>
        <w:rPr/>
        <w:t>published</w:t>
      </w:r>
      <w:r>
        <w:rPr>
          <w:spacing w:val="-2"/>
        </w:rPr>
        <w:t> </w:t>
      </w:r>
      <w:r>
        <w:rPr/>
        <w:t>on</w:t>
      </w:r>
      <w:r>
        <w:rPr>
          <w:spacing w:val="-2"/>
        </w:rPr>
        <w:t> </w:t>
      </w:r>
      <w:r>
        <w:rPr/>
        <w:t>the</w:t>
      </w:r>
      <w:r>
        <w:rPr>
          <w:spacing w:val="-2"/>
        </w:rPr>
        <w:t> </w:t>
      </w:r>
      <w:r>
        <w:rPr/>
        <w:t>website</w:t>
      </w:r>
      <w:r>
        <w:rPr>
          <w:spacing w:val="-2"/>
        </w:rPr>
        <w:t> </w:t>
      </w:r>
      <w:r>
        <w:rPr/>
        <w:t>of the office at </w:t>
      </w:r>
      <w:hyperlink r:id="rId9">
        <w:r>
          <w:rPr>
            <w:u w:val="single"/>
          </w:rPr>
          <w:t>www.dataprotection.gov.sk.</w:t>
        </w:r>
      </w:hyperlink>
    </w:p>
    <w:p>
      <w:pPr>
        <w:pStyle w:val="BodyText"/>
        <w:spacing w:line="256" w:lineRule="auto" w:before="154"/>
        <w:ind w:left="1" w:right="138" w:firstLine="708"/>
        <w:jc w:val="both"/>
      </w:pPr>
      <w:r>
        <w:rPr>
          <w:color w:val="2C2C2C"/>
        </w:rPr>
        <w:t>Further information on the scope of the above rights is provided on the Company’s website: </w:t>
      </w:r>
      <w:hyperlink r:id="rId10">
        <w:r>
          <w:rPr>
            <w:u w:val="single"/>
          </w:rPr>
          <w:t>www.seas.sk/gdpr</w:t>
        </w:r>
        <w:r>
          <w:rPr>
            <w:color w:val="2C2C2C"/>
          </w:rPr>
          <w:t>.</w:t>
        </w:r>
      </w:hyperlink>
    </w:p>
    <w:p>
      <w:pPr>
        <w:pStyle w:val="Heading1"/>
        <w:spacing w:before="161"/>
        <w:ind w:left="709"/>
      </w:pPr>
      <w:r>
        <w:rPr>
          <w:color w:val="253A96"/>
        </w:rPr>
        <w:t>How</w:t>
      </w:r>
      <w:r>
        <w:rPr>
          <w:color w:val="253A96"/>
          <w:spacing w:val="-1"/>
        </w:rPr>
        <w:t> </w:t>
      </w:r>
      <w:r>
        <w:rPr>
          <w:color w:val="253A96"/>
        </w:rPr>
        <w:t>to</w:t>
      </w:r>
      <w:r>
        <w:rPr>
          <w:color w:val="253A96"/>
          <w:spacing w:val="-4"/>
        </w:rPr>
        <w:t> </w:t>
      </w:r>
      <w:r>
        <w:rPr>
          <w:color w:val="253A96"/>
        </w:rPr>
        <w:t>exercise</w:t>
      </w:r>
      <w:r>
        <w:rPr>
          <w:color w:val="253A96"/>
          <w:spacing w:val="-4"/>
        </w:rPr>
        <w:t> </w:t>
      </w:r>
      <w:r>
        <w:rPr>
          <w:color w:val="253A96"/>
        </w:rPr>
        <w:t>your</w:t>
      </w:r>
      <w:r>
        <w:rPr>
          <w:color w:val="253A96"/>
          <w:spacing w:val="-4"/>
        </w:rPr>
        <w:t> </w:t>
      </w:r>
      <w:r>
        <w:rPr>
          <w:color w:val="253A96"/>
        </w:rPr>
        <w:t>rights</w:t>
      </w:r>
      <w:r>
        <w:rPr>
          <w:color w:val="253A96"/>
          <w:spacing w:val="-4"/>
        </w:rPr>
        <w:t> </w:t>
      </w:r>
      <w:r>
        <w:rPr>
          <w:color w:val="253A96"/>
        </w:rPr>
        <w:t>in</w:t>
      </w:r>
      <w:r>
        <w:rPr>
          <w:color w:val="253A96"/>
          <w:spacing w:val="-4"/>
        </w:rPr>
        <w:t> </w:t>
      </w:r>
      <w:r>
        <w:rPr>
          <w:color w:val="253A96"/>
        </w:rPr>
        <w:t>the</w:t>
      </w:r>
      <w:r>
        <w:rPr>
          <w:color w:val="253A96"/>
          <w:spacing w:val="-2"/>
        </w:rPr>
        <w:t> Company:</w:t>
      </w:r>
    </w:p>
    <w:p>
      <w:pPr>
        <w:pStyle w:val="BodyText"/>
        <w:spacing w:before="179"/>
        <w:ind w:left="709"/>
      </w:pPr>
      <w:r>
        <w:rPr/>
        <w:t>You</w:t>
      </w:r>
      <w:r>
        <w:rPr>
          <w:spacing w:val="-6"/>
        </w:rPr>
        <w:t> </w:t>
      </w:r>
      <w:r>
        <w:rPr/>
        <w:t>can</w:t>
      </w:r>
      <w:r>
        <w:rPr>
          <w:spacing w:val="-4"/>
        </w:rPr>
        <w:t> </w:t>
      </w:r>
      <w:r>
        <w:rPr/>
        <w:t>exercise</w:t>
      </w:r>
      <w:r>
        <w:rPr>
          <w:spacing w:val="-3"/>
        </w:rPr>
        <w:t> </w:t>
      </w:r>
      <w:r>
        <w:rPr/>
        <w:t>your</w:t>
      </w:r>
      <w:r>
        <w:rPr>
          <w:spacing w:val="-5"/>
        </w:rPr>
        <w:t> </w:t>
      </w:r>
      <w:r>
        <w:rPr/>
        <w:t>rights</w:t>
      </w:r>
      <w:r>
        <w:rPr>
          <w:spacing w:val="-2"/>
        </w:rPr>
        <w:t> </w:t>
      </w:r>
      <w:r>
        <w:rPr/>
        <w:t>in</w:t>
      </w:r>
      <w:r>
        <w:rPr>
          <w:spacing w:val="-4"/>
        </w:rPr>
        <w:t> </w:t>
      </w:r>
      <w:r>
        <w:rPr/>
        <w:t>our</w:t>
      </w:r>
      <w:r>
        <w:rPr>
          <w:spacing w:val="-2"/>
        </w:rPr>
        <w:t> </w:t>
      </w:r>
      <w:r>
        <w:rPr/>
        <w:t>Company</w:t>
      </w:r>
      <w:r>
        <w:rPr>
          <w:spacing w:val="-5"/>
        </w:rPr>
        <w:t> </w:t>
      </w:r>
      <w:r>
        <w:rPr/>
        <w:t>at</w:t>
      </w:r>
      <w:r>
        <w:rPr>
          <w:spacing w:val="-7"/>
        </w:rPr>
        <w:t> </w:t>
      </w:r>
      <w:r>
        <w:rPr/>
        <w:t>any</w:t>
      </w:r>
      <w:r>
        <w:rPr>
          <w:spacing w:val="-2"/>
        </w:rPr>
        <w:t> </w:t>
      </w:r>
      <w:r>
        <w:rPr/>
        <w:t>time</w:t>
      </w:r>
      <w:r>
        <w:rPr>
          <w:spacing w:val="-4"/>
        </w:rPr>
        <w:t> </w:t>
      </w:r>
      <w:r>
        <w:rPr/>
        <w:t>in</w:t>
      </w:r>
      <w:r>
        <w:rPr>
          <w:spacing w:val="-5"/>
        </w:rPr>
        <w:t> </w:t>
      </w:r>
      <w:r>
        <w:rPr/>
        <w:t>the</w:t>
      </w:r>
      <w:r>
        <w:rPr>
          <w:spacing w:val="-6"/>
        </w:rPr>
        <w:t> </w:t>
      </w:r>
      <w:r>
        <w:rPr/>
        <w:t>following</w:t>
      </w:r>
      <w:r>
        <w:rPr>
          <w:spacing w:val="-3"/>
        </w:rPr>
        <w:t> </w:t>
      </w:r>
      <w:r>
        <w:rPr>
          <w:spacing w:val="-2"/>
        </w:rPr>
        <w:t>ways:</w:t>
      </w:r>
    </w:p>
    <w:p>
      <w:pPr>
        <w:pStyle w:val="ListParagraph"/>
        <w:numPr>
          <w:ilvl w:val="0"/>
          <w:numId w:val="2"/>
        </w:numPr>
        <w:tabs>
          <w:tab w:pos="1071" w:val="left" w:leader="none"/>
        </w:tabs>
        <w:spacing w:line="240" w:lineRule="auto" w:before="184" w:after="0"/>
        <w:ind w:left="1071" w:right="0" w:hanging="357"/>
        <w:jc w:val="left"/>
        <w:rPr>
          <w:sz w:val="22"/>
        </w:rPr>
      </w:pPr>
      <w:r>
        <w:rPr>
          <w:sz w:val="22"/>
        </w:rPr>
        <w:t>in</w:t>
      </w:r>
      <w:r>
        <w:rPr>
          <w:spacing w:val="-4"/>
          <w:sz w:val="22"/>
        </w:rPr>
        <w:t> </w:t>
      </w:r>
      <w:r>
        <w:rPr>
          <w:sz w:val="22"/>
        </w:rPr>
        <w:t>person,</w:t>
      </w:r>
      <w:r>
        <w:rPr>
          <w:spacing w:val="-4"/>
          <w:sz w:val="22"/>
        </w:rPr>
        <w:t> </w:t>
      </w:r>
      <w:r>
        <w:rPr>
          <w:sz w:val="22"/>
        </w:rPr>
        <w:t>in</w:t>
      </w:r>
      <w:r>
        <w:rPr>
          <w:spacing w:val="-5"/>
          <w:sz w:val="22"/>
        </w:rPr>
        <w:t> </w:t>
      </w:r>
      <w:r>
        <w:rPr>
          <w:sz w:val="22"/>
        </w:rPr>
        <w:t>the</w:t>
      </w:r>
      <w:r>
        <w:rPr>
          <w:spacing w:val="-4"/>
          <w:sz w:val="22"/>
        </w:rPr>
        <w:t> </w:t>
      </w:r>
      <w:r>
        <w:rPr>
          <w:sz w:val="22"/>
        </w:rPr>
        <w:t>Company</w:t>
      </w:r>
      <w:r>
        <w:rPr>
          <w:spacing w:val="-2"/>
          <w:sz w:val="22"/>
        </w:rPr>
        <w:t> </w:t>
      </w:r>
      <w:hyperlink r:id="rId11">
        <w:r>
          <w:rPr>
            <w:color w:val="0562C1"/>
            <w:spacing w:val="-2"/>
            <w:sz w:val="22"/>
            <w:u w:val="single" w:color="0562C1"/>
          </w:rPr>
          <w:t>headquarters</w:t>
        </w:r>
        <w:r>
          <w:rPr>
            <w:spacing w:val="-2"/>
            <w:sz w:val="22"/>
          </w:rPr>
          <w:t>;</w:t>
        </w:r>
      </w:hyperlink>
    </w:p>
    <w:p>
      <w:pPr>
        <w:pStyle w:val="ListParagraph"/>
        <w:numPr>
          <w:ilvl w:val="0"/>
          <w:numId w:val="2"/>
        </w:numPr>
        <w:tabs>
          <w:tab w:pos="1071" w:val="left" w:leader="none"/>
        </w:tabs>
        <w:spacing w:line="240" w:lineRule="auto" w:before="57" w:after="0"/>
        <w:ind w:left="1071" w:right="0" w:hanging="357"/>
        <w:jc w:val="left"/>
        <w:rPr>
          <w:sz w:val="22"/>
        </w:rPr>
      </w:pPr>
      <w:r>
        <w:rPr>
          <w:sz w:val="22"/>
        </w:rPr>
        <w:t>in</w:t>
      </w:r>
      <w:r>
        <w:rPr>
          <w:spacing w:val="-7"/>
          <w:sz w:val="22"/>
        </w:rPr>
        <w:t> </w:t>
      </w:r>
      <w:r>
        <w:rPr>
          <w:sz w:val="22"/>
        </w:rPr>
        <w:t>writing,</w:t>
      </w:r>
      <w:r>
        <w:rPr>
          <w:spacing w:val="-2"/>
          <w:sz w:val="22"/>
        </w:rPr>
        <w:t> </w:t>
      </w:r>
      <w:r>
        <w:rPr>
          <w:sz w:val="22"/>
        </w:rPr>
        <w:t>by</w:t>
      </w:r>
      <w:r>
        <w:rPr>
          <w:spacing w:val="-3"/>
          <w:sz w:val="22"/>
        </w:rPr>
        <w:t> </w:t>
      </w:r>
      <w:r>
        <w:rPr>
          <w:sz w:val="22"/>
        </w:rPr>
        <w:t>sending</w:t>
      </w:r>
      <w:r>
        <w:rPr>
          <w:spacing w:val="-6"/>
          <w:sz w:val="22"/>
        </w:rPr>
        <w:t> </w:t>
      </w:r>
      <w:r>
        <w:rPr>
          <w:sz w:val="22"/>
        </w:rPr>
        <w:t>the</w:t>
      </w:r>
      <w:r>
        <w:rPr>
          <w:spacing w:val="-6"/>
          <w:sz w:val="22"/>
        </w:rPr>
        <w:t> </w:t>
      </w:r>
      <w:r>
        <w:rPr>
          <w:sz w:val="22"/>
        </w:rPr>
        <w:t>request</w:t>
      </w:r>
      <w:r>
        <w:rPr>
          <w:spacing w:val="-2"/>
          <w:sz w:val="22"/>
        </w:rPr>
        <w:t> </w:t>
      </w:r>
      <w:r>
        <w:rPr>
          <w:sz w:val="22"/>
        </w:rPr>
        <w:t>in</w:t>
      </w:r>
      <w:r>
        <w:rPr>
          <w:spacing w:val="-4"/>
          <w:sz w:val="22"/>
        </w:rPr>
        <w:t> </w:t>
      </w:r>
      <w:r>
        <w:rPr>
          <w:sz w:val="22"/>
        </w:rPr>
        <w:t>question</w:t>
      </w:r>
      <w:r>
        <w:rPr>
          <w:spacing w:val="-6"/>
          <w:sz w:val="22"/>
        </w:rPr>
        <w:t> </w:t>
      </w:r>
      <w:r>
        <w:rPr>
          <w:sz w:val="22"/>
        </w:rPr>
        <w:t>to</w:t>
      </w:r>
      <w:r>
        <w:rPr>
          <w:spacing w:val="-6"/>
          <w:sz w:val="22"/>
        </w:rPr>
        <w:t> </w:t>
      </w:r>
      <w:r>
        <w:rPr>
          <w:sz w:val="22"/>
        </w:rPr>
        <w:t>the</w:t>
      </w:r>
      <w:r>
        <w:rPr>
          <w:spacing w:val="-4"/>
          <w:sz w:val="22"/>
        </w:rPr>
        <w:t> </w:t>
      </w:r>
      <w:hyperlink r:id="rId11">
        <w:r>
          <w:rPr>
            <w:color w:val="0562C1"/>
            <w:sz w:val="22"/>
            <w:u w:val="single" w:color="0562C1"/>
          </w:rPr>
          <w:t>Company’s</w:t>
        </w:r>
        <w:r>
          <w:rPr>
            <w:color w:val="0562C1"/>
            <w:spacing w:val="-5"/>
            <w:sz w:val="22"/>
            <w:u w:val="single" w:color="0562C1"/>
          </w:rPr>
          <w:t> </w:t>
        </w:r>
        <w:r>
          <w:rPr>
            <w:color w:val="0562C1"/>
            <w:spacing w:val="-2"/>
            <w:sz w:val="22"/>
            <w:u w:val="single" w:color="0562C1"/>
          </w:rPr>
          <w:t>address</w:t>
        </w:r>
        <w:r>
          <w:rPr>
            <w:spacing w:val="-2"/>
            <w:sz w:val="22"/>
          </w:rPr>
          <w:t>;</w:t>
        </w:r>
      </w:hyperlink>
    </w:p>
    <w:p>
      <w:pPr>
        <w:pStyle w:val="ListParagraph"/>
        <w:numPr>
          <w:ilvl w:val="0"/>
          <w:numId w:val="2"/>
        </w:numPr>
        <w:tabs>
          <w:tab w:pos="1071" w:val="left" w:leader="none"/>
        </w:tabs>
        <w:spacing w:line="237" w:lineRule="auto" w:before="61" w:after="0"/>
        <w:ind w:left="1071" w:right="138" w:hanging="358"/>
        <w:jc w:val="left"/>
        <w:rPr>
          <w:sz w:val="22"/>
        </w:rPr>
      </w:pPr>
      <w:r>
        <w:rPr>
          <w:sz w:val="22"/>
        </w:rPr>
        <w:t>Electronically – by email, by sending the request in question to the email address of the data protection officer to </w:t>
      </w:r>
      <w:hyperlink r:id="rId12">
        <w:r>
          <w:rPr>
            <w:color w:val="0562C1"/>
            <w:sz w:val="22"/>
            <w:u w:val="single" w:color="0562C1"/>
          </w:rPr>
          <w:t>dpo@seas.sk</w:t>
        </w:r>
        <w:r>
          <w:rPr>
            <w:sz w:val="22"/>
          </w:rPr>
          <w:t>.</w:t>
        </w:r>
      </w:hyperlink>
    </w:p>
    <w:p>
      <w:pPr>
        <w:pStyle w:val="BodyText"/>
        <w:spacing w:before="27"/>
      </w:pPr>
    </w:p>
    <w:p>
      <w:pPr>
        <w:pStyle w:val="Heading1"/>
        <w:ind w:right="136" w:firstLine="708"/>
        <w:jc w:val="both"/>
      </w:pPr>
      <w:r>
        <w:rPr>
          <w:color w:val="253A96"/>
        </w:rPr>
        <w:t>Is provision of your personal data a statutory or contractual requirement or a requirement necessary to enter into a contract?</w:t>
      </w:r>
    </w:p>
    <w:p>
      <w:pPr>
        <w:pStyle w:val="BodyText"/>
        <w:spacing w:before="28"/>
        <w:rPr>
          <w:b/>
        </w:rPr>
      </w:pPr>
    </w:p>
    <w:p>
      <w:pPr>
        <w:pStyle w:val="BodyText"/>
        <w:spacing w:line="259" w:lineRule="auto"/>
        <w:ind w:left="1" w:right="137" w:firstLine="707"/>
        <w:jc w:val="both"/>
      </w:pPr>
      <w:r>
        <w:rPr/>
        <w:t>Providing your personal data, including the health-related data, in connection with activities related to the recording, monitoring and control of ionising radiation doses received and the authorisation of entries into protected areas is a legal requirement. Failure to provide the requested personal data shall result in the Company’s obligation to deny access to the protected areas of nuclear installations. Providing your other personal data, such as contact data, data related to employment (personal number, ID badge number, department, information whether the employee is a shift worker) is neither a legal nor contractual requirement, nor it is a requirement for entering into a contract.</w:t>
      </w:r>
    </w:p>
    <w:p>
      <w:pPr>
        <w:pStyle w:val="Heading1"/>
        <w:spacing w:line="256" w:lineRule="auto" w:before="159"/>
        <w:ind w:right="137" w:firstLine="708"/>
        <w:jc w:val="both"/>
      </w:pPr>
      <w:r>
        <w:rPr>
          <w:color w:val="253A96"/>
        </w:rPr>
        <w:t>Does the processing of your personal data involve automated individual decision-making, including profiling?</w:t>
      </w:r>
    </w:p>
    <w:p>
      <w:pPr>
        <w:pStyle w:val="BodyText"/>
        <w:spacing w:before="162"/>
        <w:ind w:left="709"/>
      </w:pPr>
      <w:r>
        <w:rPr>
          <w:spacing w:val="-5"/>
        </w:rPr>
        <w:t>No</w:t>
      </w:r>
    </w:p>
    <w:sectPr>
      <w:pgSz w:w="11900" w:h="16850"/>
      <w:pgMar w:header="1438" w:footer="541" w:top="2000" w:bottom="74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5648">
              <wp:simplePos x="0" y="0"/>
              <wp:positionH relativeFrom="page">
                <wp:posOffset>528319</wp:posOffset>
              </wp:positionH>
              <wp:positionV relativeFrom="page">
                <wp:posOffset>10210467</wp:posOffset>
              </wp:positionV>
              <wp:extent cx="6456045" cy="1174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456045" cy="117475"/>
                      </a:xfrm>
                      <a:prstGeom prst="rect">
                        <a:avLst/>
                      </a:prstGeom>
                    </wps:spPr>
                    <wps:txbx>
                      <w:txbxContent>
                        <w:p>
                          <w:pPr>
                            <w:spacing w:before="15"/>
                            <w:ind w:left="20" w:right="0" w:firstLine="0"/>
                            <w:jc w:val="left"/>
                            <w:rPr>
                              <w:sz w:val="13"/>
                            </w:rPr>
                          </w:pPr>
                          <w:r>
                            <w:rPr>
                              <w:color w:val="AEAEAE"/>
                              <w:sz w:val="13"/>
                            </w:rPr>
                            <w:t>Slovenské</w:t>
                          </w:r>
                          <w:r>
                            <w:rPr>
                              <w:color w:val="AEAEAE"/>
                              <w:spacing w:val="-7"/>
                              <w:sz w:val="13"/>
                            </w:rPr>
                            <w:t> </w:t>
                          </w:r>
                          <w:r>
                            <w:rPr>
                              <w:color w:val="AEAEAE"/>
                              <w:sz w:val="13"/>
                            </w:rPr>
                            <w:t>elektrárne,</w:t>
                          </w:r>
                          <w:r>
                            <w:rPr>
                              <w:color w:val="AEAEAE"/>
                              <w:spacing w:val="-6"/>
                              <w:sz w:val="13"/>
                            </w:rPr>
                            <w:t> </w:t>
                          </w:r>
                          <w:r>
                            <w:rPr>
                              <w:color w:val="AEAEAE"/>
                              <w:sz w:val="13"/>
                            </w:rPr>
                            <w:t>a.s,</w:t>
                          </w:r>
                          <w:r>
                            <w:rPr>
                              <w:color w:val="AEAEAE"/>
                              <w:spacing w:val="-6"/>
                              <w:sz w:val="13"/>
                            </w:rPr>
                            <w:t> </w:t>
                          </w:r>
                          <w:r>
                            <w:rPr>
                              <w:color w:val="AEAEAE"/>
                              <w:sz w:val="13"/>
                            </w:rPr>
                            <w:t>Pribinova</w:t>
                          </w:r>
                          <w:r>
                            <w:rPr>
                              <w:color w:val="AEAEAE"/>
                              <w:spacing w:val="-6"/>
                              <w:sz w:val="13"/>
                            </w:rPr>
                            <w:t> </w:t>
                          </w:r>
                          <w:r>
                            <w:rPr>
                              <w:color w:val="AEAEAE"/>
                              <w:sz w:val="13"/>
                            </w:rPr>
                            <w:t>40,</w:t>
                          </w:r>
                          <w:r>
                            <w:rPr>
                              <w:color w:val="AEAEAE"/>
                              <w:spacing w:val="-6"/>
                              <w:sz w:val="13"/>
                            </w:rPr>
                            <w:t> </w:t>
                          </w:r>
                          <w:r>
                            <w:rPr>
                              <w:color w:val="AEAEAE"/>
                              <w:sz w:val="13"/>
                            </w:rPr>
                            <w:t>811</w:t>
                          </w:r>
                          <w:r>
                            <w:rPr>
                              <w:color w:val="AEAEAE"/>
                              <w:spacing w:val="-7"/>
                              <w:sz w:val="13"/>
                            </w:rPr>
                            <w:t> </w:t>
                          </w:r>
                          <w:r>
                            <w:rPr>
                              <w:color w:val="AEAEAE"/>
                              <w:sz w:val="13"/>
                            </w:rPr>
                            <w:t>09</w:t>
                          </w:r>
                          <w:r>
                            <w:rPr>
                              <w:color w:val="AEAEAE"/>
                              <w:spacing w:val="-6"/>
                              <w:sz w:val="13"/>
                            </w:rPr>
                            <w:t> </w:t>
                          </w:r>
                          <w:r>
                            <w:rPr>
                              <w:color w:val="AEAEAE"/>
                              <w:sz w:val="13"/>
                            </w:rPr>
                            <w:t>Bratislava,</w:t>
                          </w:r>
                          <w:r>
                            <w:rPr>
                              <w:color w:val="AEAEAE"/>
                              <w:spacing w:val="-6"/>
                              <w:sz w:val="13"/>
                            </w:rPr>
                            <w:t> </w:t>
                          </w:r>
                          <w:r>
                            <w:rPr>
                              <w:color w:val="AEAEAE"/>
                              <w:sz w:val="13"/>
                            </w:rPr>
                            <w:t>Slovak</w:t>
                          </w:r>
                          <w:r>
                            <w:rPr>
                              <w:color w:val="AEAEAE"/>
                              <w:spacing w:val="-6"/>
                              <w:sz w:val="13"/>
                            </w:rPr>
                            <w:t> </w:t>
                          </w:r>
                          <w:r>
                            <w:rPr>
                              <w:color w:val="AEAEAE"/>
                              <w:sz w:val="13"/>
                            </w:rPr>
                            <w:t>Republic,</w:t>
                          </w:r>
                          <w:r>
                            <w:rPr>
                              <w:color w:val="AEAEAE"/>
                              <w:spacing w:val="-6"/>
                              <w:sz w:val="13"/>
                            </w:rPr>
                            <w:t> </w:t>
                          </w:r>
                          <w:r>
                            <w:rPr>
                              <w:color w:val="AEAEAE"/>
                              <w:sz w:val="13"/>
                            </w:rPr>
                            <w:t>ID:</w:t>
                          </w:r>
                          <w:r>
                            <w:rPr>
                              <w:color w:val="AEAEAE"/>
                              <w:spacing w:val="-6"/>
                              <w:sz w:val="13"/>
                            </w:rPr>
                            <w:t> </w:t>
                          </w:r>
                          <w:r>
                            <w:rPr>
                              <w:color w:val="AEAEAE"/>
                              <w:sz w:val="13"/>
                            </w:rPr>
                            <w:t>35</w:t>
                          </w:r>
                          <w:r>
                            <w:rPr>
                              <w:color w:val="AEAEAE"/>
                              <w:spacing w:val="-4"/>
                              <w:sz w:val="13"/>
                            </w:rPr>
                            <w:t> </w:t>
                          </w:r>
                          <w:r>
                            <w:rPr>
                              <w:color w:val="AEAEAE"/>
                              <w:sz w:val="13"/>
                            </w:rPr>
                            <w:t>829</w:t>
                          </w:r>
                          <w:r>
                            <w:rPr>
                              <w:color w:val="AEAEAE"/>
                              <w:spacing w:val="-7"/>
                              <w:sz w:val="13"/>
                            </w:rPr>
                            <w:t> </w:t>
                          </w:r>
                          <w:r>
                            <w:rPr>
                              <w:color w:val="AEAEAE"/>
                              <w:sz w:val="13"/>
                            </w:rPr>
                            <w:t>052,</w:t>
                          </w:r>
                          <w:r>
                            <w:rPr>
                              <w:color w:val="AEAEAE"/>
                              <w:spacing w:val="-6"/>
                              <w:sz w:val="13"/>
                            </w:rPr>
                            <w:t> </w:t>
                          </w:r>
                          <w:r>
                            <w:rPr>
                              <w:color w:val="AEAEAE"/>
                              <w:sz w:val="13"/>
                            </w:rPr>
                            <w:t>Commercial</w:t>
                          </w:r>
                          <w:r>
                            <w:rPr>
                              <w:color w:val="AEAEAE"/>
                              <w:spacing w:val="-6"/>
                              <w:sz w:val="13"/>
                            </w:rPr>
                            <w:t> </w:t>
                          </w:r>
                          <w:r>
                            <w:rPr>
                              <w:color w:val="AEAEAE"/>
                              <w:sz w:val="13"/>
                            </w:rPr>
                            <w:t>Registry</w:t>
                          </w:r>
                          <w:r>
                            <w:rPr>
                              <w:color w:val="AEAEAE"/>
                              <w:spacing w:val="-7"/>
                              <w:sz w:val="13"/>
                            </w:rPr>
                            <w:t> </w:t>
                          </w:r>
                          <w:r>
                            <w:rPr>
                              <w:color w:val="AEAEAE"/>
                              <w:sz w:val="13"/>
                            </w:rPr>
                            <w:t>of</w:t>
                          </w:r>
                          <w:r>
                            <w:rPr>
                              <w:color w:val="AEAEAE"/>
                              <w:spacing w:val="-6"/>
                              <w:sz w:val="13"/>
                            </w:rPr>
                            <w:t> </w:t>
                          </w:r>
                          <w:r>
                            <w:rPr>
                              <w:color w:val="AEAEAE"/>
                              <w:sz w:val="13"/>
                            </w:rPr>
                            <w:t>the</w:t>
                          </w:r>
                          <w:r>
                            <w:rPr>
                              <w:color w:val="AEAEAE"/>
                              <w:spacing w:val="-6"/>
                              <w:sz w:val="13"/>
                            </w:rPr>
                            <w:t> </w:t>
                          </w:r>
                          <w:r>
                            <w:rPr>
                              <w:color w:val="AEAEAE"/>
                              <w:sz w:val="13"/>
                            </w:rPr>
                            <w:t>City</w:t>
                          </w:r>
                          <w:r>
                            <w:rPr>
                              <w:color w:val="AEAEAE"/>
                              <w:spacing w:val="-4"/>
                              <w:sz w:val="13"/>
                            </w:rPr>
                            <w:t> </w:t>
                          </w:r>
                          <w:r>
                            <w:rPr>
                              <w:color w:val="AEAEAE"/>
                              <w:sz w:val="13"/>
                            </w:rPr>
                            <w:t>Court</w:t>
                          </w:r>
                          <w:r>
                            <w:rPr>
                              <w:color w:val="AEAEAE"/>
                              <w:spacing w:val="-6"/>
                              <w:sz w:val="13"/>
                            </w:rPr>
                            <w:t> </w:t>
                          </w:r>
                          <w:r>
                            <w:rPr>
                              <w:color w:val="AEAEAE"/>
                              <w:sz w:val="13"/>
                            </w:rPr>
                            <w:t>Bratislava</w:t>
                          </w:r>
                          <w:r>
                            <w:rPr>
                              <w:color w:val="AEAEAE"/>
                              <w:spacing w:val="-6"/>
                              <w:sz w:val="13"/>
                            </w:rPr>
                            <w:t> </w:t>
                          </w:r>
                          <w:r>
                            <w:rPr>
                              <w:color w:val="AEAEAE"/>
                              <w:sz w:val="13"/>
                            </w:rPr>
                            <w:t>III,</w:t>
                          </w:r>
                          <w:r>
                            <w:rPr>
                              <w:color w:val="AEAEAE"/>
                              <w:spacing w:val="-6"/>
                              <w:sz w:val="13"/>
                            </w:rPr>
                            <w:t> </w:t>
                          </w:r>
                          <w:r>
                            <w:rPr>
                              <w:color w:val="AEAEAE"/>
                              <w:sz w:val="13"/>
                            </w:rPr>
                            <w:t>Section:</w:t>
                          </w:r>
                          <w:r>
                            <w:rPr>
                              <w:color w:val="AEAEAE"/>
                              <w:spacing w:val="-4"/>
                              <w:sz w:val="13"/>
                            </w:rPr>
                            <w:t> </w:t>
                          </w:r>
                          <w:r>
                            <w:rPr>
                              <w:color w:val="AEAEAE"/>
                              <w:sz w:val="13"/>
                            </w:rPr>
                            <w:t>Sa,</w:t>
                          </w:r>
                          <w:r>
                            <w:rPr>
                              <w:color w:val="AEAEAE"/>
                              <w:spacing w:val="-6"/>
                              <w:sz w:val="13"/>
                            </w:rPr>
                            <w:t> </w:t>
                          </w:r>
                          <w:r>
                            <w:rPr>
                              <w:color w:val="AEAEAE"/>
                              <w:sz w:val="13"/>
                            </w:rPr>
                            <w:t>Insert</w:t>
                          </w:r>
                          <w:r>
                            <w:rPr>
                              <w:color w:val="AEAEAE"/>
                              <w:spacing w:val="-6"/>
                              <w:sz w:val="13"/>
                            </w:rPr>
                            <w:t> </w:t>
                          </w:r>
                          <w:r>
                            <w:rPr>
                              <w:color w:val="AEAEAE"/>
                              <w:sz w:val="13"/>
                            </w:rPr>
                            <w:t>No.:</w:t>
                          </w:r>
                          <w:r>
                            <w:rPr>
                              <w:color w:val="AEAEAE"/>
                              <w:spacing w:val="-6"/>
                              <w:sz w:val="13"/>
                            </w:rPr>
                            <w:t> </w:t>
                          </w:r>
                          <w:r>
                            <w:rPr>
                              <w:color w:val="AEAEAE"/>
                              <w:spacing w:val="-2"/>
                              <w:sz w:val="13"/>
                            </w:rPr>
                            <w:t>2904/B</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99998pt;margin-top:803.973816pt;width:508.35pt;height:9.25pt;mso-position-horizontal-relative:page;mso-position-vertical-relative:page;z-index:-15800832" type="#_x0000_t202" id="docshape1" filled="false" stroked="false">
              <v:textbox inset="0,0,0,0">
                <w:txbxContent>
                  <w:p>
                    <w:pPr>
                      <w:spacing w:before="15"/>
                      <w:ind w:left="20" w:right="0" w:firstLine="0"/>
                      <w:jc w:val="left"/>
                      <w:rPr>
                        <w:sz w:val="13"/>
                      </w:rPr>
                    </w:pPr>
                    <w:r>
                      <w:rPr>
                        <w:color w:val="AEAEAE"/>
                        <w:sz w:val="13"/>
                      </w:rPr>
                      <w:t>Slovenské</w:t>
                    </w:r>
                    <w:r>
                      <w:rPr>
                        <w:color w:val="AEAEAE"/>
                        <w:spacing w:val="-7"/>
                        <w:sz w:val="13"/>
                      </w:rPr>
                      <w:t> </w:t>
                    </w:r>
                    <w:r>
                      <w:rPr>
                        <w:color w:val="AEAEAE"/>
                        <w:sz w:val="13"/>
                      </w:rPr>
                      <w:t>elektrárne,</w:t>
                    </w:r>
                    <w:r>
                      <w:rPr>
                        <w:color w:val="AEAEAE"/>
                        <w:spacing w:val="-6"/>
                        <w:sz w:val="13"/>
                      </w:rPr>
                      <w:t> </w:t>
                    </w:r>
                    <w:r>
                      <w:rPr>
                        <w:color w:val="AEAEAE"/>
                        <w:sz w:val="13"/>
                      </w:rPr>
                      <w:t>a.s,</w:t>
                    </w:r>
                    <w:r>
                      <w:rPr>
                        <w:color w:val="AEAEAE"/>
                        <w:spacing w:val="-6"/>
                        <w:sz w:val="13"/>
                      </w:rPr>
                      <w:t> </w:t>
                    </w:r>
                    <w:r>
                      <w:rPr>
                        <w:color w:val="AEAEAE"/>
                        <w:sz w:val="13"/>
                      </w:rPr>
                      <w:t>Pribinova</w:t>
                    </w:r>
                    <w:r>
                      <w:rPr>
                        <w:color w:val="AEAEAE"/>
                        <w:spacing w:val="-6"/>
                        <w:sz w:val="13"/>
                      </w:rPr>
                      <w:t> </w:t>
                    </w:r>
                    <w:r>
                      <w:rPr>
                        <w:color w:val="AEAEAE"/>
                        <w:sz w:val="13"/>
                      </w:rPr>
                      <w:t>40,</w:t>
                    </w:r>
                    <w:r>
                      <w:rPr>
                        <w:color w:val="AEAEAE"/>
                        <w:spacing w:val="-6"/>
                        <w:sz w:val="13"/>
                      </w:rPr>
                      <w:t> </w:t>
                    </w:r>
                    <w:r>
                      <w:rPr>
                        <w:color w:val="AEAEAE"/>
                        <w:sz w:val="13"/>
                      </w:rPr>
                      <w:t>811</w:t>
                    </w:r>
                    <w:r>
                      <w:rPr>
                        <w:color w:val="AEAEAE"/>
                        <w:spacing w:val="-7"/>
                        <w:sz w:val="13"/>
                      </w:rPr>
                      <w:t> </w:t>
                    </w:r>
                    <w:r>
                      <w:rPr>
                        <w:color w:val="AEAEAE"/>
                        <w:sz w:val="13"/>
                      </w:rPr>
                      <w:t>09</w:t>
                    </w:r>
                    <w:r>
                      <w:rPr>
                        <w:color w:val="AEAEAE"/>
                        <w:spacing w:val="-6"/>
                        <w:sz w:val="13"/>
                      </w:rPr>
                      <w:t> </w:t>
                    </w:r>
                    <w:r>
                      <w:rPr>
                        <w:color w:val="AEAEAE"/>
                        <w:sz w:val="13"/>
                      </w:rPr>
                      <w:t>Bratislava,</w:t>
                    </w:r>
                    <w:r>
                      <w:rPr>
                        <w:color w:val="AEAEAE"/>
                        <w:spacing w:val="-6"/>
                        <w:sz w:val="13"/>
                      </w:rPr>
                      <w:t> </w:t>
                    </w:r>
                    <w:r>
                      <w:rPr>
                        <w:color w:val="AEAEAE"/>
                        <w:sz w:val="13"/>
                      </w:rPr>
                      <w:t>Slovak</w:t>
                    </w:r>
                    <w:r>
                      <w:rPr>
                        <w:color w:val="AEAEAE"/>
                        <w:spacing w:val="-6"/>
                        <w:sz w:val="13"/>
                      </w:rPr>
                      <w:t> </w:t>
                    </w:r>
                    <w:r>
                      <w:rPr>
                        <w:color w:val="AEAEAE"/>
                        <w:sz w:val="13"/>
                      </w:rPr>
                      <w:t>Republic,</w:t>
                    </w:r>
                    <w:r>
                      <w:rPr>
                        <w:color w:val="AEAEAE"/>
                        <w:spacing w:val="-6"/>
                        <w:sz w:val="13"/>
                      </w:rPr>
                      <w:t> </w:t>
                    </w:r>
                    <w:r>
                      <w:rPr>
                        <w:color w:val="AEAEAE"/>
                        <w:sz w:val="13"/>
                      </w:rPr>
                      <w:t>ID:</w:t>
                    </w:r>
                    <w:r>
                      <w:rPr>
                        <w:color w:val="AEAEAE"/>
                        <w:spacing w:val="-6"/>
                        <w:sz w:val="13"/>
                      </w:rPr>
                      <w:t> </w:t>
                    </w:r>
                    <w:r>
                      <w:rPr>
                        <w:color w:val="AEAEAE"/>
                        <w:sz w:val="13"/>
                      </w:rPr>
                      <w:t>35</w:t>
                    </w:r>
                    <w:r>
                      <w:rPr>
                        <w:color w:val="AEAEAE"/>
                        <w:spacing w:val="-4"/>
                        <w:sz w:val="13"/>
                      </w:rPr>
                      <w:t> </w:t>
                    </w:r>
                    <w:r>
                      <w:rPr>
                        <w:color w:val="AEAEAE"/>
                        <w:sz w:val="13"/>
                      </w:rPr>
                      <w:t>829</w:t>
                    </w:r>
                    <w:r>
                      <w:rPr>
                        <w:color w:val="AEAEAE"/>
                        <w:spacing w:val="-7"/>
                        <w:sz w:val="13"/>
                      </w:rPr>
                      <w:t> </w:t>
                    </w:r>
                    <w:r>
                      <w:rPr>
                        <w:color w:val="AEAEAE"/>
                        <w:sz w:val="13"/>
                      </w:rPr>
                      <w:t>052,</w:t>
                    </w:r>
                    <w:r>
                      <w:rPr>
                        <w:color w:val="AEAEAE"/>
                        <w:spacing w:val="-6"/>
                        <w:sz w:val="13"/>
                      </w:rPr>
                      <w:t> </w:t>
                    </w:r>
                    <w:r>
                      <w:rPr>
                        <w:color w:val="AEAEAE"/>
                        <w:sz w:val="13"/>
                      </w:rPr>
                      <w:t>Commercial</w:t>
                    </w:r>
                    <w:r>
                      <w:rPr>
                        <w:color w:val="AEAEAE"/>
                        <w:spacing w:val="-6"/>
                        <w:sz w:val="13"/>
                      </w:rPr>
                      <w:t> </w:t>
                    </w:r>
                    <w:r>
                      <w:rPr>
                        <w:color w:val="AEAEAE"/>
                        <w:sz w:val="13"/>
                      </w:rPr>
                      <w:t>Registry</w:t>
                    </w:r>
                    <w:r>
                      <w:rPr>
                        <w:color w:val="AEAEAE"/>
                        <w:spacing w:val="-7"/>
                        <w:sz w:val="13"/>
                      </w:rPr>
                      <w:t> </w:t>
                    </w:r>
                    <w:r>
                      <w:rPr>
                        <w:color w:val="AEAEAE"/>
                        <w:sz w:val="13"/>
                      </w:rPr>
                      <w:t>of</w:t>
                    </w:r>
                    <w:r>
                      <w:rPr>
                        <w:color w:val="AEAEAE"/>
                        <w:spacing w:val="-6"/>
                        <w:sz w:val="13"/>
                      </w:rPr>
                      <w:t> </w:t>
                    </w:r>
                    <w:r>
                      <w:rPr>
                        <w:color w:val="AEAEAE"/>
                        <w:sz w:val="13"/>
                      </w:rPr>
                      <w:t>the</w:t>
                    </w:r>
                    <w:r>
                      <w:rPr>
                        <w:color w:val="AEAEAE"/>
                        <w:spacing w:val="-6"/>
                        <w:sz w:val="13"/>
                      </w:rPr>
                      <w:t> </w:t>
                    </w:r>
                    <w:r>
                      <w:rPr>
                        <w:color w:val="AEAEAE"/>
                        <w:sz w:val="13"/>
                      </w:rPr>
                      <w:t>City</w:t>
                    </w:r>
                    <w:r>
                      <w:rPr>
                        <w:color w:val="AEAEAE"/>
                        <w:spacing w:val="-4"/>
                        <w:sz w:val="13"/>
                      </w:rPr>
                      <w:t> </w:t>
                    </w:r>
                    <w:r>
                      <w:rPr>
                        <w:color w:val="AEAEAE"/>
                        <w:sz w:val="13"/>
                      </w:rPr>
                      <w:t>Court</w:t>
                    </w:r>
                    <w:r>
                      <w:rPr>
                        <w:color w:val="AEAEAE"/>
                        <w:spacing w:val="-6"/>
                        <w:sz w:val="13"/>
                      </w:rPr>
                      <w:t> </w:t>
                    </w:r>
                    <w:r>
                      <w:rPr>
                        <w:color w:val="AEAEAE"/>
                        <w:sz w:val="13"/>
                      </w:rPr>
                      <w:t>Bratislava</w:t>
                    </w:r>
                    <w:r>
                      <w:rPr>
                        <w:color w:val="AEAEAE"/>
                        <w:spacing w:val="-6"/>
                        <w:sz w:val="13"/>
                      </w:rPr>
                      <w:t> </w:t>
                    </w:r>
                    <w:r>
                      <w:rPr>
                        <w:color w:val="AEAEAE"/>
                        <w:sz w:val="13"/>
                      </w:rPr>
                      <w:t>III,</w:t>
                    </w:r>
                    <w:r>
                      <w:rPr>
                        <w:color w:val="AEAEAE"/>
                        <w:spacing w:val="-6"/>
                        <w:sz w:val="13"/>
                      </w:rPr>
                      <w:t> </w:t>
                    </w:r>
                    <w:r>
                      <w:rPr>
                        <w:color w:val="AEAEAE"/>
                        <w:sz w:val="13"/>
                      </w:rPr>
                      <w:t>Section:</w:t>
                    </w:r>
                    <w:r>
                      <w:rPr>
                        <w:color w:val="AEAEAE"/>
                        <w:spacing w:val="-4"/>
                        <w:sz w:val="13"/>
                      </w:rPr>
                      <w:t> </w:t>
                    </w:r>
                    <w:r>
                      <w:rPr>
                        <w:color w:val="AEAEAE"/>
                        <w:sz w:val="13"/>
                      </w:rPr>
                      <w:t>Sa,</w:t>
                    </w:r>
                    <w:r>
                      <w:rPr>
                        <w:color w:val="AEAEAE"/>
                        <w:spacing w:val="-6"/>
                        <w:sz w:val="13"/>
                      </w:rPr>
                      <w:t> </w:t>
                    </w:r>
                    <w:r>
                      <w:rPr>
                        <w:color w:val="AEAEAE"/>
                        <w:sz w:val="13"/>
                      </w:rPr>
                      <w:t>Insert</w:t>
                    </w:r>
                    <w:r>
                      <w:rPr>
                        <w:color w:val="AEAEAE"/>
                        <w:spacing w:val="-6"/>
                        <w:sz w:val="13"/>
                      </w:rPr>
                      <w:t> </w:t>
                    </w:r>
                    <w:r>
                      <w:rPr>
                        <w:color w:val="AEAEAE"/>
                        <w:sz w:val="13"/>
                      </w:rPr>
                      <w:t>No.:</w:t>
                    </w:r>
                    <w:r>
                      <w:rPr>
                        <w:color w:val="AEAEAE"/>
                        <w:spacing w:val="-6"/>
                        <w:sz w:val="13"/>
                      </w:rPr>
                      <w:t> </w:t>
                    </w:r>
                    <w:r>
                      <w:rPr>
                        <w:color w:val="AEAEAE"/>
                        <w:spacing w:val="-2"/>
                        <w:sz w:val="13"/>
                      </w:rPr>
                      <w:t>2904/B</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15136">
          <wp:simplePos x="0" y="0"/>
          <wp:positionH relativeFrom="page">
            <wp:posOffset>900430</wp:posOffset>
          </wp:positionH>
          <wp:positionV relativeFrom="page">
            <wp:posOffset>912875</wp:posOffset>
          </wp:positionV>
          <wp:extent cx="5682462" cy="28281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682462" cy="28281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71" w:hanging="358"/>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892" w:hanging="358"/>
      </w:pPr>
      <w:rPr>
        <w:rFonts w:hint="default"/>
        <w:lang w:val="en-US" w:eastAsia="en-US" w:bidi="ar-SA"/>
      </w:rPr>
    </w:lvl>
    <w:lvl w:ilvl="2">
      <w:start w:val="0"/>
      <w:numFmt w:val="bullet"/>
      <w:lvlText w:val="•"/>
      <w:lvlJc w:val="left"/>
      <w:pPr>
        <w:ind w:left="2705" w:hanging="358"/>
      </w:pPr>
      <w:rPr>
        <w:rFonts w:hint="default"/>
        <w:lang w:val="en-US" w:eastAsia="en-US" w:bidi="ar-SA"/>
      </w:rPr>
    </w:lvl>
    <w:lvl w:ilvl="3">
      <w:start w:val="0"/>
      <w:numFmt w:val="bullet"/>
      <w:lvlText w:val="•"/>
      <w:lvlJc w:val="left"/>
      <w:pPr>
        <w:ind w:left="3518" w:hanging="358"/>
      </w:pPr>
      <w:rPr>
        <w:rFonts w:hint="default"/>
        <w:lang w:val="en-US" w:eastAsia="en-US" w:bidi="ar-SA"/>
      </w:rPr>
    </w:lvl>
    <w:lvl w:ilvl="4">
      <w:start w:val="0"/>
      <w:numFmt w:val="bullet"/>
      <w:lvlText w:val="•"/>
      <w:lvlJc w:val="left"/>
      <w:pPr>
        <w:ind w:left="4330" w:hanging="358"/>
      </w:pPr>
      <w:rPr>
        <w:rFonts w:hint="default"/>
        <w:lang w:val="en-US" w:eastAsia="en-US" w:bidi="ar-SA"/>
      </w:rPr>
    </w:lvl>
    <w:lvl w:ilvl="5">
      <w:start w:val="0"/>
      <w:numFmt w:val="bullet"/>
      <w:lvlText w:val="•"/>
      <w:lvlJc w:val="left"/>
      <w:pPr>
        <w:ind w:left="5143" w:hanging="358"/>
      </w:pPr>
      <w:rPr>
        <w:rFonts w:hint="default"/>
        <w:lang w:val="en-US" w:eastAsia="en-US" w:bidi="ar-SA"/>
      </w:rPr>
    </w:lvl>
    <w:lvl w:ilvl="6">
      <w:start w:val="0"/>
      <w:numFmt w:val="bullet"/>
      <w:lvlText w:val="•"/>
      <w:lvlJc w:val="left"/>
      <w:pPr>
        <w:ind w:left="5956" w:hanging="358"/>
      </w:pPr>
      <w:rPr>
        <w:rFonts w:hint="default"/>
        <w:lang w:val="en-US" w:eastAsia="en-US" w:bidi="ar-SA"/>
      </w:rPr>
    </w:lvl>
    <w:lvl w:ilvl="7">
      <w:start w:val="0"/>
      <w:numFmt w:val="bullet"/>
      <w:lvlText w:val="•"/>
      <w:lvlJc w:val="left"/>
      <w:pPr>
        <w:ind w:left="6769" w:hanging="358"/>
      </w:pPr>
      <w:rPr>
        <w:rFonts w:hint="default"/>
        <w:lang w:val="en-US" w:eastAsia="en-US" w:bidi="ar-SA"/>
      </w:rPr>
    </w:lvl>
    <w:lvl w:ilvl="8">
      <w:start w:val="0"/>
      <w:numFmt w:val="bullet"/>
      <w:lvlText w:val="•"/>
      <w:lvlJc w:val="left"/>
      <w:pPr>
        <w:ind w:left="7581" w:hanging="358"/>
      </w:pPr>
      <w:rPr>
        <w:rFonts w:hint="default"/>
        <w:lang w:val="en-US" w:eastAsia="en-US" w:bidi="ar-SA"/>
      </w:rPr>
    </w:lvl>
  </w:abstractNum>
  <w:abstractNum w:abstractNumId="0">
    <w:multiLevelType w:val="hybridMultilevel"/>
    <w:lvl w:ilvl="0">
      <w:start w:val="0"/>
      <w:numFmt w:val="bullet"/>
      <w:lvlText w:val=""/>
      <w:lvlJc w:val="left"/>
      <w:pPr>
        <w:ind w:left="721"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68" w:hanging="361"/>
      </w:pPr>
      <w:rPr>
        <w:rFonts w:hint="default"/>
        <w:lang w:val="en-US" w:eastAsia="en-US" w:bidi="ar-SA"/>
      </w:rPr>
    </w:lvl>
    <w:lvl w:ilvl="2">
      <w:start w:val="0"/>
      <w:numFmt w:val="bullet"/>
      <w:lvlText w:val="•"/>
      <w:lvlJc w:val="left"/>
      <w:pPr>
        <w:ind w:left="2417" w:hanging="361"/>
      </w:pPr>
      <w:rPr>
        <w:rFonts w:hint="default"/>
        <w:lang w:val="en-US" w:eastAsia="en-US" w:bidi="ar-SA"/>
      </w:rPr>
    </w:lvl>
    <w:lvl w:ilvl="3">
      <w:start w:val="0"/>
      <w:numFmt w:val="bullet"/>
      <w:lvlText w:val="•"/>
      <w:lvlJc w:val="left"/>
      <w:pPr>
        <w:ind w:left="3266" w:hanging="361"/>
      </w:pPr>
      <w:rPr>
        <w:rFonts w:hint="default"/>
        <w:lang w:val="en-US" w:eastAsia="en-US" w:bidi="ar-SA"/>
      </w:rPr>
    </w:lvl>
    <w:lvl w:ilvl="4">
      <w:start w:val="0"/>
      <w:numFmt w:val="bullet"/>
      <w:lvlText w:val="•"/>
      <w:lvlJc w:val="left"/>
      <w:pPr>
        <w:ind w:left="4114" w:hanging="361"/>
      </w:pPr>
      <w:rPr>
        <w:rFonts w:hint="default"/>
        <w:lang w:val="en-US" w:eastAsia="en-US" w:bidi="ar-SA"/>
      </w:rPr>
    </w:lvl>
    <w:lvl w:ilvl="5">
      <w:start w:val="0"/>
      <w:numFmt w:val="bullet"/>
      <w:lvlText w:val="•"/>
      <w:lvlJc w:val="left"/>
      <w:pPr>
        <w:ind w:left="4963" w:hanging="361"/>
      </w:pPr>
      <w:rPr>
        <w:rFonts w:hint="default"/>
        <w:lang w:val="en-US" w:eastAsia="en-US" w:bidi="ar-SA"/>
      </w:rPr>
    </w:lvl>
    <w:lvl w:ilvl="6">
      <w:start w:val="0"/>
      <w:numFmt w:val="bullet"/>
      <w:lvlText w:val="•"/>
      <w:lvlJc w:val="left"/>
      <w:pPr>
        <w:ind w:left="5812" w:hanging="361"/>
      </w:pPr>
      <w:rPr>
        <w:rFonts w:hint="default"/>
        <w:lang w:val="en-US" w:eastAsia="en-US" w:bidi="ar-SA"/>
      </w:rPr>
    </w:lvl>
    <w:lvl w:ilvl="7">
      <w:start w:val="0"/>
      <w:numFmt w:val="bullet"/>
      <w:lvlText w:val="•"/>
      <w:lvlJc w:val="left"/>
      <w:pPr>
        <w:ind w:left="6661" w:hanging="361"/>
      </w:pPr>
      <w:rPr>
        <w:rFonts w:hint="default"/>
        <w:lang w:val="en-US" w:eastAsia="en-US" w:bidi="ar-SA"/>
      </w:rPr>
    </w:lvl>
    <w:lvl w:ilvl="8">
      <w:start w:val="0"/>
      <w:numFmt w:val="bullet"/>
      <w:lvlText w:val="•"/>
      <w:lvlJc w:val="left"/>
      <w:pPr>
        <w:ind w:left="7509"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21"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eur-lex.europa.eu/legal-content/sk/TXT/?qid=1553775170936&amp;uri=CELEX%3A32019D0419" TargetMode="External"/><Relationship Id="rId8" Type="http://schemas.openxmlformats.org/officeDocument/2006/relationships/hyperlink" Target="https://eur-lex.europa.eu/legal-content/SK/TXT/HTML/?uri=CELEX%3A32003D0490&amp;from=SK" TargetMode="External"/><Relationship Id="rId9" Type="http://schemas.openxmlformats.org/officeDocument/2006/relationships/hyperlink" Target="http://www.dataprotection.gov.sk/" TargetMode="External"/><Relationship Id="rId10" Type="http://schemas.openxmlformats.org/officeDocument/2006/relationships/hyperlink" Target="https://www.seas.sk/en/about-us/personal-data-protection/exercising-data-subjects-rights/" TargetMode="External"/><Relationship Id="rId11" Type="http://schemas.openxmlformats.org/officeDocument/2006/relationships/hyperlink" Target="https://www.seas.sk/en/contact/?_gl=1%2A1u0twq3%2A_up%2AMQ..%2A_ga%2AOTQ5OTMwNTg0LjE2ODY4OTcyOTY.%2A_ga_XTGTDT4T90%2AMTY4Njg5NzI5NS4xLjEuMTY4Njg5NzMxMS4wLjAuMA" TargetMode="External"/><Relationship Id="rId12" Type="http://schemas.openxmlformats.org/officeDocument/2006/relationships/hyperlink" Target="mailto:dpo@seas.sk" TargetMode="External"/><Relationship Id="rId1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Slovensk? elektr?rne a.s.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description/>
  <dcterms:created xsi:type="dcterms:W3CDTF">2026-02-04T08:28:48Z</dcterms:created>
  <dcterms:modified xsi:type="dcterms:W3CDTF">2026-02-04T08:28:48Z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Created">
    <vt:filetime>2026-01-29T00:00:00Z</vt:filetime>
  </property>
  <property fmtid="{D5CDD505-2E9C-101B-9397-08002B2CF9AE}" pid="4" name="Creator">
    <vt:lpwstr>Acrobat PDFMaker 20 pre Word</vt:lpwstr>
  </property>
  <property fmtid="{D5CDD505-2E9C-101B-9397-08002B2CF9AE}" pid="5" name="LastSaved">
    <vt:filetime>2026-02-04T00:00:00Z</vt:filetime>
  </property>
  <property fmtid="{D5CDD505-2E9C-101B-9397-08002B2CF9AE}" pid="6" name="MSIP_Label_01033efc-6ed6-4450-9a89-3ef200846c5c_ActionId">
    <vt:lpwstr>04e8b59f-abdb-4580-a21e-e8659e43ba55</vt:lpwstr>
  </property>
  <property fmtid="{D5CDD505-2E9C-101B-9397-08002B2CF9AE}" pid="7" name="MSIP_Label_01033efc-6ed6-4450-9a89-3ef200846c5c_ContentBits">
    <vt:lpwstr>0</vt:lpwstr>
  </property>
  <property fmtid="{D5CDD505-2E9C-101B-9397-08002B2CF9AE}" pid="8" name="MSIP_Label_01033efc-6ed6-4450-9a89-3ef200846c5c_Enabled">
    <vt:lpwstr>true</vt:lpwstr>
  </property>
  <property fmtid="{D5CDD505-2E9C-101B-9397-08002B2CF9AE}" pid="9" name="MSIP_Label_01033efc-6ed6-4450-9a89-3ef200846c5c_Method">
    <vt:lpwstr>Standard</vt:lpwstr>
  </property>
  <property fmtid="{D5CDD505-2E9C-101B-9397-08002B2CF9AE}" pid="10" name="MSIP_Label_01033efc-6ed6-4450-9a89-3ef200846c5c_Name">
    <vt:lpwstr>01033efc-6ed6-4450-9a89-3ef200846c5c</vt:lpwstr>
  </property>
  <property fmtid="{D5CDD505-2E9C-101B-9397-08002B2CF9AE}" pid="11" name="MSIP_Label_01033efc-6ed6-4450-9a89-3ef200846c5c_SetDate">
    <vt:lpwstr>2026-01-29T11:32:51Z</vt:lpwstr>
  </property>
  <property fmtid="{D5CDD505-2E9C-101B-9397-08002B2CF9AE}" pid="12" name="MSIP_Label_01033efc-6ed6-4450-9a89-3ef200846c5c_SiteId">
    <vt:lpwstr>c58c41aa-ad72-46b7-930c-f1ae5878e5d9</vt:lpwstr>
  </property>
  <property fmtid="{D5CDD505-2E9C-101B-9397-08002B2CF9AE}" pid="13" name="MSIP_Label_01033efc-6ed6-4450-9a89-3ef200846c5c_Tag">
    <vt:lpwstr>10, 3, 0, 1</vt:lpwstr>
  </property>
  <property fmtid="{D5CDD505-2E9C-101B-9397-08002B2CF9AE}" pid="14" name="Producer">
    <vt:lpwstr>Adobe PDF Library 20.5.118</vt:lpwstr>
  </property>
  <property fmtid="{D5CDD505-2E9C-101B-9397-08002B2CF9AE}" pid="15" name="SourceModified">
    <vt:lpwstr>D:20260129113333</vt:lpwstr>
  </property>
</Properties>
</file>